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32AF" w14:textId="174B0CE7" w:rsidR="00BD2C6E" w:rsidRDefault="00000000">
      <w:pPr>
        <w:pStyle w:val="1"/>
        <w:widowControl/>
        <w:pBdr>
          <w:bottom w:val="single" w:sz="12" w:space="3" w:color="CC3300"/>
        </w:pBdr>
        <w:shd w:val="clear" w:color="auto" w:fill="FFFFFF"/>
        <w:spacing w:line="360" w:lineRule="exact"/>
        <w:jc w:val="center"/>
        <w:rPr>
          <w:rFonts w:ascii="微软雅黑" w:eastAsia="微软雅黑" w:hAnsi="微软雅黑" w:cs="微软雅黑"/>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w:t>
      </w:r>
      <w:r w:rsidR="00BB6A85">
        <w:rPr>
          <w:rFonts w:ascii="微软雅黑" w:eastAsia="微软雅黑" w:hAnsi="微软雅黑" w:cs="微软雅黑"/>
          <w:sz w:val="28"/>
          <w:szCs w:val="21"/>
          <w:shd w:val="clear" w:color="auto" w:fill="FFFFFF"/>
        </w:rPr>
        <w:t>26</w:t>
      </w:r>
      <w:r>
        <w:rPr>
          <w:rFonts w:ascii="微软雅黑" w:eastAsia="微软雅黑" w:hAnsi="微软雅黑" w:cs="微软雅黑"/>
          <w:sz w:val="28"/>
          <w:szCs w:val="21"/>
          <w:shd w:val="clear" w:color="auto" w:fill="FFFFFF"/>
        </w:rPr>
        <w:t>年健康管理学院专升本【护理综合】考试大纲</w:t>
      </w:r>
    </w:p>
    <w:p w14:paraId="1853461C" w14:textId="77777777" w:rsidR="00BD2C6E"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4DB54E2D" w14:textId="77777777" w:rsidR="00BD2C6E" w:rsidRDefault="00BD2C6E">
      <w:pPr>
        <w:spacing w:line="360" w:lineRule="auto"/>
      </w:pPr>
    </w:p>
    <w:p w14:paraId="3F85026B" w14:textId="77777777" w:rsidR="00BD2C6E" w:rsidRDefault="00000000">
      <w:pPr>
        <w:spacing w:line="360" w:lineRule="auto"/>
        <w:ind w:firstLineChars="200" w:firstLine="420"/>
      </w:pPr>
      <w:r>
        <w:rPr>
          <w:rFonts w:hint="eastAsia"/>
        </w:rPr>
        <w:t>测试学生获得从事护理工作所必需的基本理论、基本知识和基本技能，以及运用与护理工作相关的知识，有效而安全地完成护理工作的能力。</w:t>
      </w:r>
    </w:p>
    <w:p w14:paraId="6CBA9630"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4D20AF0A" w14:textId="77777777" w:rsidR="00BD2C6E"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79E7F95B" w14:textId="77777777" w:rsidR="00BD2C6E" w:rsidRDefault="00BD2C6E">
      <w:pPr>
        <w:pStyle w:val="a7"/>
        <w:widowControl/>
        <w:shd w:val="clear" w:color="auto" w:fill="FFFFFF"/>
        <w:adjustRightInd w:val="0"/>
        <w:snapToGrid w:val="0"/>
        <w:spacing w:before="60" w:beforeAutospacing="0" w:afterAutospacing="0" w:line="360" w:lineRule="auto"/>
        <w:rPr>
          <w:rFonts w:cstheme="minorBidi"/>
          <w:kern w:val="2"/>
          <w:sz w:val="21"/>
          <w:szCs w:val="22"/>
        </w:rPr>
      </w:pPr>
    </w:p>
    <w:p w14:paraId="53561962"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1.</w:t>
      </w:r>
      <w:r>
        <w:rPr>
          <w:rFonts w:cstheme="minorBidi" w:hint="eastAsia"/>
          <w:kern w:val="2"/>
          <w:sz w:val="21"/>
          <w:szCs w:val="22"/>
        </w:rPr>
        <w:t>报考要求：专科所学专业必须是护理或助产。</w:t>
      </w:r>
    </w:p>
    <w:p w14:paraId="2918B239"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2.</w:t>
      </w:r>
      <w:r>
        <w:rPr>
          <w:rFonts w:cstheme="minorBidi" w:hint="eastAsia"/>
          <w:kern w:val="2"/>
          <w:sz w:val="21"/>
          <w:szCs w:val="22"/>
        </w:rPr>
        <w:t>考试内容：包括护理学导论和基础护理学两部分。</w:t>
      </w:r>
    </w:p>
    <w:p w14:paraId="337A0495"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3.</w:t>
      </w:r>
      <w:r>
        <w:rPr>
          <w:rFonts w:cstheme="minorBidi" w:hint="eastAsia"/>
          <w:kern w:val="2"/>
          <w:sz w:val="21"/>
          <w:szCs w:val="22"/>
        </w:rPr>
        <w:t>考试形式及时间：考试形式为闭卷笔试，试卷满分为</w:t>
      </w:r>
      <w:r>
        <w:rPr>
          <w:rFonts w:cstheme="minorBidi" w:hint="eastAsia"/>
          <w:kern w:val="2"/>
          <w:sz w:val="21"/>
          <w:szCs w:val="22"/>
        </w:rPr>
        <w:t>100</w:t>
      </w:r>
      <w:r>
        <w:rPr>
          <w:rFonts w:cstheme="minorBidi" w:hint="eastAsia"/>
          <w:kern w:val="2"/>
          <w:sz w:val="21"/>
          <w:szCs w:val="22"/>
        </w:rPr>
        <w:t>分，考试时间为</w:t>
      </w:r>
      <w:r>
        <w:rPr>
          <w:rFonts w:cstheme="minorBidi" w:hint="eastAsia"/>
          <w:kern w:val="2"/>
          <w:sz w:val="21"/>
          <w:szCs w:val="22"/>
        </w:rPr>
        <w:t>120</w:t>
      </w:r>
      <w:r>
        <w:rPr>
          <w:rFonts w:cstheme="minorBidi" w:hint="eastAsia"/>
          <w:kern w:val="2"/>
          <w:sz w:val="21"/>
          <w:szCs w:val="22"/>
        </w:rPr>
        <w:t>分钟。</w:t>
      </w:r>
    </w:p>
    <w:p w14:paraId="6B0E93BB"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4.</w:t>
      </w:r>
      <w:r>
        <w:rPr>
          <w:rFonts w:cstheme="minorBidi" w:hint="eastAsia"/>
          <w:kern w:val="2"/>
          <w:sz w:val="21"/>
          <w:szCs w:val="22"/>
        </w:rPr>
        <w:t>题型及分值：名词解释（</w:t>
      </w:r>
      <w:r>
        <w:rPr>
          <w:rFonts w:cstheme="minorBidi" w:hint="eastAsia"/>
          <w:kern w:val="2"/>
          <w:sz w:val="21"/>
          <w:szCs w:val="22"/>
        </w:rPr>
        <w:t>5</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分）、选择题（</w:t>
      </w:r>
      <w:r>
        <w:rPr>
          <w:rFonts w:cstheme="minorBidi" w:hint="eastAsia"/>
          <w:kern w:val="2"/>
          <w:sz w:val="21"/>
          <w:szCs w:val="22"/>
        </w:rPr>
        <w:t>40</w:t>
      </w:r>
      <w:r>
        <w:rPr>
          <w:rFonts w:cstheme="minorBidi" w:hint="eastAsia"/>
          <w:kern w:val="2"/>
          <w:sz w:val="21"/>
          <w:szCs w:val="22"/>
        </w:rPr>
        <w:t>题，</w:t>
      </w:r>
      <w:r>
        <w:rPr>
          <w:rFonts w:cstheme="minorBidi" w:hint="eastAsia"/>
          <w:kern w:val="2"/>
          <w:sz w:val="21"/>
          <w:szCs w:val="22"/>
        </w:rPr>
        <w:t>40</w:t>
      </w:r>
      <w:r>
        <w:rPr>
          <w:rFonts w:cstheme="minorBidi" w:hint="eastAsia"/>
          <w:kern w:val="2"/>
          <w:sz w:val="21"/>
          <w:szCs w:val="22"/>
        </w:rPr>
        <w:t>分）、简答题（</w:t>
      </w:r>
      <w:r>
        <w:rPr>
          <w:rFonts w:cstheme="minorBidi" w:hint="eastAsia"/>
          <w:kern w:val="2"/>
          <w:sz w:val="21"/>
          <w:szCs w:val="22"/>
        </w:rPr>
        <w:t>4</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分）、案例分析题（</w:t>
      </w:r>
      <w:r>
        <w:rPr>
          <w:rFonts w:cstheme="minorBidi" w:hint="eastAsia"/>
          <w:kern w:val="2"/>
          <w:sz w:val="21"/>
          <w:szCs w:val="22"/>
        </w:rPr>
        <w:t>2</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w:t>
      </w:r>
    </w:p>
    <w:p w14:paraId="29465157" w14:textId="77777777" w:rsidR="00BD2C6E" w:rsidRDefault="00BD2C6E">
      <w:pPr>
        <w:pStyle w:val="a7"/>
        <w:widowControl/>
        <w:shd w:val="clear" w:color="auto" w:fill="FFFFFF"/>
        <w:adjustRightInd w:val="0"/>
        <w:snapToGrid w:val="0"/>
        <w:spacing w:beforeAutospacing="0" w:afterAutospacing="0" w:line="360" w:lineRule="auto"/>
        <w:rPr>
          <w:rFonts w:cstheme="minorBidi"/>
          <w:kern w:val="2"/>
          <w:sz w:val="21"/>
          <w:szCs w:val="22"/>
        </w:rPr>
      </w:pPr>
    </w:p>
    <w:p w14:paraId="09AB395F" w14:textId="77777777" w:rsidR="00BD2C6E"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p w14:paraId="08C49EEC"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tbl>
      <w:tblPr>
        <w:tblW w:w="507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05"/>
        <w:gridCol w:w="2865"/>
      </w:tblGrid>
      <w:tr w:rsidR="00BD2C6E" w14:paraId="704BBC1D" w14:textId="77777777">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A117A0E"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题型</w:t>
            </w:r>
          </w:p>
        </w:tc>
        <w:tc>
          <w:tcPr>
            <w:tcW w:w="2865"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0B845F61"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分值</w:t>
            </w:r>
          </w:p>
        </w:tc>
      </w:tr>
      <w:tr w:rsidR="00BD2C6E" w14:paraId="2EFAA82F"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47CA75D"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名词解释</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D2D53F4"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20</w:t>
            </w:r>
          </w:p>
        </w:tc>
      </w:tr>
      <w:tr w:rsidR="00BD2C6E" w14:paraId="166E1872"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112E62B"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选择题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2D14EA52"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40</w:t>
            </w:r>
          </w:p>
        </w:tc>
      </w:tr>
      <w:tr w:rsidR="00BD2C6E" w14:paraId="1EF59C0F"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18AC79ED"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简答题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2BCE2887"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20</w:t>
            </w:r>
          </w:p>
        </w:tc>
      </w:tr>
      <w:tr w:rsidR="00BD2C6E" w14:paraId="158869C9"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F70BD32"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案例分析题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33170786"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20</w:t>
            </w:r>
          </w:p>
        </w:tc>
      </w:tr>
      <w:tr w:rsidR="00BD2C6E" w14:paraId="10CCB89F"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2D4F1026"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合计</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D2B4A43" w14:textId="77777777" w:rsidR="00BD2C6E" w:rsidRDefault="00000000">
            <w:pPr>
              <w:pStyle w:val="a7"/>
              <w:widowControl/>
              <w:spacing w:after="90" w:afterAutospacing="0" w:line="360" w:lineRule="exact"/>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100</w:t>
            </w:r>
          </w:p>
        </w:tc>
      </w:tr>
    </w:tbl>
    <w:p w14:paraId="18D35BCB"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7F753EC7" w14:textId="77777777" w:rsidR="00BD2C6E"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四、考试内容和要求</w:t>
      </w:r>
    </w:p>
    <w:p w14:paraId="4FF655CC"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3846568A" w14:textId="77777777" w:rsidR="00BD2C6E" w:rsidRDefault="00000000">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t>（一）护理学导论</w:t>
      </w:r>
    </w:p>
    <w:p w14:paraId="7D72C764" w14:textId="77777777" w:rsidR="00BD2C6E" w:rsidRDefault="00BD2C6E">
      <w:pPr>
        <w:pStyle w:val="a7"/>
        <w:widowControl/>
        <w:shd w:val="clear" w:color="auto" w:fill="FFFFFF"/>
        <w:spacing w:before="60" w:beforeAutospacing="0" w:afterAutospacing="0" w:line="360" w:lineRule="exact"/>
        <w:ind w:left="720"/>
        <w:rPr>
          <w:rFonts w:cstheme="minorBidi"/>
          <w:b/>
          <w:kern w:val="2"/>
          <w:sz w:val="21"/>
          <w:szCs w:val="22"/>
        </w:rPr>
      </w:pPr>
    </w:p>
    <w:tbl>
      <w:tblPr>
        <w:tblStyle w:val="a8"/>
        <w:tblW w:w="9391" w:type="dxa"/>
        <w:tblLook w:val="04A0" w:firstRow="1" w:lastRow="0" w:firstColumn="1" w:lastColumn="0" w:noHBand="0" w:noVBand="1"/>
      </w:tblPr>
      <w:tblGrid>
        <w:gridCol w:w="1242"/>
        <w:gridCol w:w="1843"/>
        <w:gridCol w:w="6306"/>
      </w:tblGrid>
      <w:tr w:rsidR="00BD2C6E" w14:paraId="388583E3" w14:textId="77777777">
        <w:trPr>
          <w:trHeight w:val="545"/>
        </w:trPr>
        <w:tc>
          <w:tcPr>
            <w:tcW w:w="1242" w:type="dxa"/>
          </w:tcPr>
          <w:p w14:paraId="375850AC"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521BAE60"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0AFD7531"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BD2C6E" w14:paraId="64CE1B1A" w14:textId="77777777">
        <w:trPr>
          <w:trHeight w:val="545"/>
        </w:trPr>
        <w:tc>
          <w:tcPr>
            <w:tcW w:w="1242" w:type="dxa"/>
            <w:vAlign w:val="center"/>
          </w:tcPr>
          <w:p w14:paraId="75215FF2"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1C6AC7DE"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护理学的发展及基本概念</w:t>
            </w:r>
          </w:p>
        </w:tc>
        <w:tc>
          <w:tcPr>
            <w:tcW w:w="6306" w:type="dxa"/>
            <w:vAlign w:val="center"/>
          </w:tcPr>
          <w:p w14:paraId="47825A5A"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1.知道护理学的发展、演变过程及每个阶段的发展特点、南丁格尔对护理学发展的贡献、护理专业的工作范畴。</w:t>
            </w:r>
          </w:p>
          <w:p w14:paraId="6ED10C3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2.理解护理概念的三个演变过程及每个过程的特征</w:t>
            </w:r>
            <w:r>
              <w:rPr>
                <w:rFonts w:ascii="宋体" w:eastAsia="宋体" w:hAnsi="宋体" w:hint="eastAsia"/>
                <w:color w:val="000000"/>
                <w:szCs w:val="21"/>
              </w:rPr>
              <w:t>、近</w:t>
            </w:r>
            <w:r>
              <w:rPr>
                <w:rFonts w:ascii="宋体" w:eastAsia="宋体" w:hAnsi="宋体" w:cs="Times New Roman" w:hint="eastAsia"/>
                <w:color w:val="000000"/>
                <w:szCs w:val="21"/>
              </w:rPr>
              <w:t>现代护理发展的各个重要阶段</w:t>
            </w:r>
            <w:r>
              <w:rPr>
                <w:rFonts w:ascii="宋体" w:eastAsia="宋体" w:hAnsi="宋体" w:hint="eastAsia"/>
                <w:color w:val="000000"/>
                <w:szCs w:val="21"/>
              </w:rPr>
              <w:t>的主要特点、护理专业的特点、</w:t>
            </w:r>
            <w:r>
              <w:rPr>
                <w:rFonts w:ascii="宋体" w:eastAsia="宋体" w:hAnsi="宋体" w:cs="Times New Roman" w:hint="eastAsia"/>
                <w:color w:val="000000"/>
                <w:szCs w:val="21"/>
              </w:rPr>
              <w:t>护士的角色要求。</w:t>
            </w:r>
          </w:p>
        </w:tc>
      </w:tr>
      <w:tr w:rsidR="00BD2C6E" w14:paraId="05F2CC91" w14:textId="77777777">
        <w:trPr>
          <w:trHeight w:val="545"/>
        </w:trPr>
        <w:tc>
          <w:tcPr>
            <w:tcW w:w="1242" w:type="dxa"/>
            <w:vAlign w:val="center"/>
          </w:tcPr>
          <w:p w14:paraId="51F2AA28"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2</w:t>
            </w:r>
          </w:p>
        </w:tc>
        <w:tc>
          <w:tcPr>
            <w:tcW w:w="1843" w:type="dxa"/>
            <w:vAlign w:val="center"/>
          </w:tcPr>
          <w:p w14:paraId="6576A815"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健康与疾病</w:t>
            </w:r>
          </w:p>
        </w:tc>
        <w:tc>
          <w:tcPr>
            <w:tcW w:w="6306" w:type="dxa"/>
            <w:vAlign w:val="center"/>
          </w:tcPr>
          <w:p w14:paraId="141B0885"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1.知道健康与疾病的相关概念、影响健康的因素和健康的测量指标、病人常见的行为和心理反应。</w:t>
            </w:r>
          </w:p>
          <w:p w14:paraId="6C229674"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2.理解健康与疾病的关系、常见的病人角色适应不良、疾病的影响、全球及我国卫生保健的战略目标及健康中国战略。</w:t>
            </w:r>
          </w:p>
        </w:tc>
      </w:tr>
      <w:tr w:rsidR="00BD2C6E" w14:paraId="1F8A8AF9" w14:textId="77777777">
        <w:trPr>
          <w:trHeight w:val="545"/>
        </w:trPr>
        <w:tc>
          <w:tcPr>
            <w:tcW w:w="1242" w:type="dxa"/>
            <w:vAlign w:val="center"/>
          </w:tcPr>
          <w:p w14:paraId="4E9E83DB"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323556B4"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需要与关怀</w:t>
            </w:r>
          </w:p>
        </w:tc>
        <w:tc>
          <w:tcPr>
            <w:tcW w:w="6306" w:type="dxa"/>
            <w:vAlign w:val="center"/>
          </w:tcPr>
          <w:p w14:paraId="434C11AE"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1.知道马斯洛的人类基本需要层次论、关怀的内涵、Watson人性关怀理论和Swanson关怀理论的基本观点。</w:t>
            </w:r>
          </w:p>
          <w:p w14:paraId="584F1554"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2.理解马斯洛的人类基本需要层次论在护理实践中应用的意义、影响病人需要满足的因素、护理关怀的意义和作用。</w:t>
            </w:r>
          </w:p>
          <w:p w14:paraId="6CF21E8A"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3.依据人类基本需要层次论分析病人的需要并采用相应的策略满足其基本需要。</w:t>
            </w:r>
          </w:p>
        </w:tc>
      </w:tr>
      <w:tr w:rsidR="00BD2C6E" w14:paraId="64A49AFF" w14:textId="77777777">
        <w:trPr>
          <w:trHeight w:val="545"/>
        </w:trPr>
        <w:tc>
          <w:tcPr>
            <w:tcW w:w="1242" w:type="dxa"/>
            <w:vAlign w:val="center"/>
          </w:tcPr>
          <w:p w14:paraId="2102293B"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6AF48DCE"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护患关系与人际沟通</w:t>
            </w:r>
          </w:p>
        </w:tc>
        <w:tc>
          <w:tcPr>
            <w:tcW w:w="6306" w:type="dxa"/>
            <w:vAlign w:val="center"/>
          </w:tcPr>
          <w:p w14:paraId="42F0FBB7"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1.知道护患关系的基本模式和分期、人际沟通的基本要素、人际关系和非语言沟通的类型。</w:t>
            </w:r>
          </w:p>
          <w:p w14:paraId="31F57A44"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2.理解人际关系、护患关系、人际沟通、护患沟通、语言沟通、非语言沟通、倾听、同理、自我暴露的概念。</w:t>
            </w:r>
          </w:p>
          <w:p w14:paraId="316053ED"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3.说明人际关系、护患关系、护患沟通的特征；分析人际沟通的层次；明确阻碍护患沟通的因素。</w:t>
            </w:r>
          </w:p>
          <w:p w14:paraId="5780810A"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4.运用人际关系基本理论模拟并处理护理工作中的各种人际关系；</w:t>
            </w:r>
          </w:p>
          <w:p w14:paraId="77E34395" w14:textId="77777777" w:rsidR="00BD2C6E" w:rsidRDefault="00000000">
            <w:r>
              <w:rPr>
                <w:rFonts w:ascii="宋体" w:eastAsia="宋体" w:hAnsi="宋体" w:cs="Times New Roman" w:hint="eastAsia"/>
                <w:color w:val="000000"/>
                <w:szCs w:val="21"/>
              </w:rPr>
              <w:t>运用人际沟通的技巧进行护患间有效的沟通。</w:t>
            </w:r>
          </w:p>
        </w:tc>
      </w:tr>
      <w:tr w:rsidR="00BD2C6E" w14:paraId="0672ED15" w14:textId="77777777">
        <w:trPr>
          <w:trHeight w:val="545"/>
        </w:trPr>
        <w:tc>
          <w:tcPr>
            <w:tcW w:w="1242" w:type="dxa"/>
            <w:vAlign w:val="center"/>
          </w:tcPr>
          <w:p w14:paraId="19DB09D2"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03148752"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护理程序</w:t>
            </w:r>
          </w:p>
        </w:tc>
        <w:tc>
          <w:tcPr>
            <w:tcW w:w="6306" w:type="dxa"/>
            <w:vAlign w:val="center"/>
          </w:tcPr>
          <w:p w14:paraId="459819F3"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1.知道护理程序及护理诊断的概念、资料收集的内容和方法、护理诊断的排序原则、护理诊断的陈述结构与方式、制订预期目标和护理措施的要求、临床护理记录常用的记录方法。</w:t>
            </w:r>
          </w:p>
          <w:p w14:paraId="77284BDA"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2.理解护理诊断的四种类型及组成部分；鉴别护理诊断与合作性问题、医疗诊断；鉴别主观资料和客观资料。</w:t>
            </w:r>
          </w:p>
          <w:p w14:paraId="5FF2F376" w14:textId="77777777" w:rsidR="00BD2C6E" w:rsidRDefault="00000000">
            <w:pPr>
              <w:snapToGrid w:val="0"/>
              <w:spacing w:line="288" w:lineRule="auto"/>
              <w:jc w:val="left"/>
            </w:pPr>
            <w:r>
              <w:rPr>
                <w:rFonts w:ascii="宋体" w:eastAsia="宋体" w:hAnsi="宋体" w:cs="Times New Roman" w:hint="eastAsia"/>
                <w:color w:val="000000"/>
                <w:szCs w:val="21"/>
              </w:rPr>
              <w:t>3.运用相关标准判断护理诊断、护理目标、护理措施的正误。</w:t>
            </w:r>
          </w:p>
        </w:tc>
      </w:tr>
      <w:tr w:rsidR="00BD2C6E" w14:paraId="283DBB2F" w14:textId="77777777">
        <w:trPr>
          <w:trHeight w:val="545"/>
        </w:trPr>
        <w:tc>
          <w:tcPr>
            <w:tcW w:w="1242" w:type="dxa"/>
            <w:vAlign w:val="center"/>
          </w:tcPr>
          <w:p w14:paraId="01FDF1BC"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6</w:t>
            </w:r>
          </w:p>
        </w:tc>
        <w:tc>
          <w:tcPr>
            <w:tcW w:w="1843" w:type="dxa"/>
            <w:vAlign w:val="center"/>
          </w:tcPr>
          <w:p w14:paraId="062F6822"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护理理论及模式</w:t>
            </w:r>
          </w:p>
        </w:tc>
        <w:tc>
          <w:tcPr>
            <w:tcW w:w="6306" w:type="dxa"/>
            <w:vAlign w:val="center"/>
          </w:tcPr>
          <w:p w14:paraId="63BA819F"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1.知道护理理念、护理理论的相关概念及发展过程。</w:t>
            </w:r>
          </w:p>
          <w:p w14:paraId="050B941C"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2.理解奥瑞</w:t>
            </w:r>
            <w:proofErr w:type="gramStart"/>
            <w:r>
              <w:rPr>
                <w:rFonts w:ascii="宋体" w:eastAsia="宋体" w:hAnsi="宋体" w:cs="Times New Roman" w:hint="eastAsia"/>
                <w:color w:val="000000"/>
                <w:szCs w:val="21"/>
              </w:rPr>
              <w:t>姆</w:t>
            </w:r>
            <w:proofErr w:type="gramEnd"/>
            <w:r>
              <w:rPr>
                <w:rFonts w:ascii="宋体" w:eastAsia="宋体" w:hAnsi="宋体" w:cs="Times New Roman" w:hint="eastAsia"/>
                <w:color w:val="000000"/>
                <w:szCs w:val="21"/>
              </w:rPr>
              <w:t>自理理论、罗伊适应模式的主要内容；</w:t>
            </w:r>
            <w:proofErr w:type="gramStart"/>
            <w:r>
              <w:rPr>
                <w:rFonts w:ascii="宋体" w:eastAsia="宋体" w:hAnsi="宋体" w:cs="Times New Roman" w:hint="eastAsia"/>
                <w:color w:val="000000"/>
                <w:szCs w:val="21"/>
              </w:rPr>
              <w:t>纽</w:t>
            </w:r>
            <w:proofErr w:type="gramEnd"/>
            <w:r>
              <w:rPr>
                <w:rFonts w:ascii="宋体" w:eastAsia="宋体" w:hAnsi="宋体" w:cs="Times New Roman" w:hint="eastAsia"/>
                <w:color w:val="000000"/>
                <w:szCs w:val="21"/>
              </w:rPr>
              <w:t>曼系统模式的主要观点。</w:t>
            </w:r>
          </w:p>
        </w:tc>
      </w:tr>
      <w:tr w:rsidR="00BD2C6E" w14:paraId="1FE7FD8C" w14:textId="77777777">
        <w:trPr>
          <w:trHeight w:val="545"/>
        </w:trPr>
        <w:tc>
          <w:tcPr>
            <w:tcW w:w="1242" w:type="dxa"/>
            <w:vAlign w:val="center"/>
          </w:tcPr>
          <w:p w14:paraId="6342B8B6"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11B518A1"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护理科学思维方法与决策</w:t>
            </w:r>
          </w:p>
        </w:tc>
        <w:tc>
          <w:tcPr>
            <w:tcW w:w="6306" w:type="dxa"/>
            <w:vAlign w:val="center"/>
          </w:tcPr>
          <w:p w14:paraId="6B7E8B4A"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w:t>
            </w:r>
            <w:r>
              <w:rPr>
                <w:rFonts w:ascii="宋体" w:eastAsia="宋体" w:hAnsi="宋体" w:cs="Times New Roman"/>
                <w:color w:val="000000"/>
                <w:szCs w:val="21"/>
              </w:rPr>
              <w:t>.</w:t>
            </w:r>
            <w:r>
              <w:rPr>
                <w:rFonts w:ascii="宋体" w:eastAsia="宋体" w:hAnsi="宋体" w:cs="Times New Roman" w:hint="eastAsia"/>
                <w:color w:val="000000"/>
                <w:szCs w:val="21"/>
              </w:rPr>
              <w:t>知道评判性思维的构成要素、临床护理决策的类型、循证护理的基本要素。</w:t>
            </w:r>
          </w:p>
          <w:p w14:paraId="70B27590"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w:t>
            </w:r>
            <w:r>
              <w:rPr>
                <w:rFonts w:ascii="宋体" w:eastAsia="宋体" w:hAnsi="宋体" w:cs="Times New Roman"/>
                <w:color w:val="000000"/>
                <w:szCs w:val="21"/>
              </w:rPr>
              <w:t>.</w:t>
            </w:r>
            <w:r>
              <w:rPr>
                <w:rFonts w:ascii="宋体" w:eastAsia="宋体" w:hAnsi="宋体" w:cs="Times New Roman" w:hint="eastAsia"/>
                <w:color w:val="000000"/>
                <w:szCs w:val="21"/>
              </w:rPr>
              <w:t>理解临床护理决策的影响因素、循证护理的基本步骤、循证护理与传统护理的关系。</w:t>
            </w:r>
          </w:p>
          <w:p w14:paraId="095513DF"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w:t>
            </w:r>
            <w:r>
              <w:rPr>
                <w:rFonts w:ascii="宋体" w:eastAsia="宋体" w:hAnsi="宋体" w:cs="Times New Roman"/>
                <w:color w:val="000000"/>
                <w:szCs w:val="21"/>
              </w:rPr>
              <w:t>.</w:t>
            </w:r>
            <w:r>
              <w:rPr>
                <w:rFonts w:ascii="宋体" w:eastAsia="宋体" w:hAnsi="宋体" w:cs="Times New Roman" w:hint="eastAsia"/>
                <w:color w:val="000000"/>
                <w:szCs w:val="21"/>
              </w:rPr>
              <w:t>能运用批判性思维对临床护理问题进行分析，并做出正确、合理的护理决策。</w:t>
            </w:r>
          </w:p>
        </w:tc>
      </w:tr>
      <w:tr w:rsidR="00BD2C6E" w14:paraId="4D4A9114" w14:textId="77777777">
        <w:trPr>
          <w:trHeight w:val="545"/>
        </w:trPr>
        <w:tc>
          <w:tcPr>
            <w:tcW w:w="1242" w:type="dxa"/>
            <w:vAlign w:val="center"/>
          </w:tcPr>
          <w:p w14:paraId="21F6ABCB"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bCs/>
                <w:sz w:val="21"/>
                <w:szCs w:val="21"/>
                <w:shd w:val="clear" w:color="auto" w:fill="FFFFFF"/>
              </w:rPr>
              <w:t>8</w:t>
            </w:r>
          </w:p>
        </w:tc>
        <w:tc>
          <w:tcPr>
            <w:tcW w:w="1843" w:type="dxa"/>
            <w:vAlign w:val="center"/>
          </w:tcPr>
          <w:p w14:paraId="0F294C9D"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护理伦理</w:t>
            </w:r>
          </w:p>
        </w:tc>
        <w:tc>
          <w:tcPr>
            <w:tcW w:w="6306" w:type="dxa"/>
            <w:vAlign w:val="center"/>
          </w:tcPr>
          <w:p w14:paraId="3E6CC98C"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1.知道护理伦理基本原则、护理道德的规范与范畴、病人的权利与义务。</w:t>
            </w:r>
          </w:p>
          <w:p w14:paraId="6E7CE7A2"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2.理解职业道德、护理道德修养及知情同意的概念、生命伦理学中的有关理论、常见的生命伦理学伦理难题及处理方法。</w:t>
            </w:r>
          </w:p>
          <w:p w14:paraId="48CF21A5"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3.分析判断护理活动中的伦理问题。</w:t>
            </w:r>
          </w:p>
        </w:tc>
      </w:tr>
      <w:tr w:rsidR="00BD2C6E" w14:paraId="51F8AC65" w14:textId="77777777">
        <w:trPr>
          <w:trHeight w:val="545"/>
        </w:trPr>
        <w:tc>
          <w:tcPr>
            <w:tcW w:w="1242" w:type="dxa"/>
            <w:vAlign w:val="center"/>
          </w:tcPr>
          <w:p w14:paraId="40AC99D0" w14:textId="77777777" w:rsidR="00BD2C6E" w:rsidRDefault="00000000">
            <w:pPr>
              <w:pStyle w:val="a7"/>
              <w:widowControl/>
              <w:spacing w:before="60" w:beforeAutospacing="0" w:afterAutospacing="0" w:line="360" w:lineRule="exact"/>
              <w:jc w:val="center"/>
              <w:rPr>
                <w:rFonts w:ascii="宋体" w:eastAsia="宋体" w:hAnsi="宋体" w:hint="eastAsia"/>
                <w:color w:val="000000"/>
                <w:kern w:val="2"/>
                <w:sz w:val="21"/>
                <w:szCs w:val="21"/>
              </w:rPr>
            </w:pPr>
            <w:r>
              <w:rPr>
                <w:rFonts w:ascii="宋体" w:eastAsia="宋体" w:hAnsi="宋体"/>
                <w:color w:val="000000"/>
                <w:kern w:val="2"/>
                <w:sz w:val="21"/>
                <w:szCs w:val="21"/>
              </w:rPr>
              <w:t>9</w:t>
            </w:r>
          </w:p>
        </w:tc>
        <w:tc>
          <w:tcPr>
            <w:tcW w:w="1843" w:type="dxa"/>
            <w:vAlign w:val="center"/>
          </w:tcPr>
          <w:p w14:paraId="38958978" w14:textId="77777777" w:rsidR="00BD2C6E" w:rsidRDefault="00000000">
            <w:pPr>
              <w:pStyle w:val="a7"/>
              <w:widowControl/>
              <w:spacing w:before="60" w:beforeAutospacing="0" w:afterAutospacing="0" w:line="360" w:lineRule="exact"/>
              <w:jc w:val="center"/>
              <w:rPr>
                <w:rFonts w:ascii="宋体" w:eastAsia="宋体" w:hAnsi="宋体" w:hint="eastAsia"/>
                <w:color w:val="000000"/>
                <w:kern w:val="2"/>
                <w:sz w:val="21"/>
                <w:szCs w:val="21"/>
              </w:rPr>
            </w:pPr>
            <w:r>
              <w:rPr>
                <w:rFonts w:ascii="微软雅黑" w:eastAsia="微软雅黑" w:hAnsi="微软雅黑" w:cs="微软雅黑" w:hint="eastAsia"/>
                <w:bCs/>
                <w:sz w:val="21"/>
                <w:szCs w:val="21"/>
                <w:shd w:val="clear" w:color="auto" w:fill="FFFFFF"/>
              </w:rPr>
              <w:t>护理专业中的法律问题</w:t>
            </w:r>
          </w:p>
        </w:tc>
        <w:tc>
          <w:tcPr>
            <w:tcW w:w="6306" w:type="dxa"/>
            <w:vAlign w:val="center"/>
          </w:tcPr>
          <w:p w14:paraId="5BC79051"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1.知道医疗纠纷、医疗事故的概念、护理法的基本内容。</w:t>
            </w:r>
          </w:p>
          <w:p w14:paraId="11F85775"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2.理解医疗纠纷的分类、医疗事故的构成要件和分级、举证责任倒置的基本含义、护理工作中专业和相关法律法规的类型、护士的工作权限。</w:t>
            </w:r>
          </w:p>
          <w:p w14:paraId="7F3FE9C8" w14:textId="77777777" w:rsidR="00BD2C6E" w:rsidRDefault="00000000">
            <w:pPr>
              <w:rPr>
                <w:rFonts w:ascii="宋体" w:eastAsia="宋体" w:hAnsi="宋体" w:cs="Times New Roman" w:hint="eastAsia"/>
                <w:color w:val="000000"/>
                <w:szCs w:val="21"/>
              </w:rPr>
            </w:pPr>
            <w:r>
              <w:rPr>
                <w:rFonts w:ascii="宋体" w:eastAsia="宋体" w:hAnsi="宋体" w:cs="Times New Roman" w:hint="eastAsia"/>
                <w:color w:val="000000"/>
                <w:szCs w:val="21"/>
              </w:rPr>
              <w:t>3.分析医疗事故的分级、护理工作中的法律问题。</w:t>
            </w:r>
          </w:p>
        </w:tc>
      </w:tr>
    </w:tbl>
    <w:p w14:paraId="4BFA7994" w14:textId="77777777" w:rsidR="00BD2C6E" w:rsidRDefault="00BD2C6E">
      <w:pPr>
        <w:pStyle w:val="a7"/>
        <w:widowControl/>
        <w:shd w:val="clear" w:color="auto" w:fill="FFFFFF"/>
        <w:spacing w:before="60" w:beforeAutospacing="0" w:afterAutospacing="0" w:line="360" w:lineRule="exact"/>
        <w:rPr>
          <w:rFonts w:ascii="宋体" w:eastAsia="宋体" w:hAnsi="宋体" w:hint="eastAsia"/>
          <w:color w:val="000000"/>
          <w:kern w:val="2"/>
          <w:sz w:val="21"/>
          <w:szCs w:val="21"/>
        </w:rPr>
      </w:pPr>
    </w:p>
    <w:p w14:paraId="63170944"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05CB6221" w14:textId="77777777" w:rsidR="00BD2C6E" w:rsidRDefault="00000000">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t>（二）基础护理学</w:t>
      </w:r>
    </w:p>
    <w:p w14:paraId="66803918"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tbl>
      <w:tblPr>
        <w:tblStyle w:val="a8"/>
        <w:tblW w:w="9391" w:type="dxa"/>
        <w:tblLook w:val="04A0" w:firstRow="1" w:lastRow="0" w:firstColumn="1" w:lastColumn="0" w:noHBand="0" w:noVBand="1"/>
      </w:tblPr>
      <w:tblGrid>
        <w:gridCol w:w="1242"/>
        <w:gridCol w:w="1843"/>
        <w:gridCol w:w="6306"/>
      </w:tblGrid>
      <w:tr w:rsidR="00BD2C6E" w14:paraId="07897D7D" w14:textId="77777777">
        <w:trPr>
          <w:trHeight w:val="545"/>
        </w:trPr>
        <w:tc>
          <w:tcPr>
            <w:tcW w:w="1242" w:type="dxa"/>
          </w:tcPr>
          <w:p w14:paraId="601B34E5"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0EC9139B"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5301CFB0"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BD2C6E" w14:paraId="4ACE155F" w14:textId="77777777">
        <w:trPr>
          <w:trHeight w:val="545"/>
        </w:trPr>
        <w:tc>
          <w:tcPr>
            <w:tcW w:w="1242" w:type="dxa"/>
            <w:vAlign w:val="center"/>
          </w:tcPr>
          <w:p w14:paraId="409FE320"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50D91DBD"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环境</w:t>
            </w:r>
          </w:p>
        </w:tc>
        <w:tc>
          <w:tcPr>
            <w:tcW w:w="6306" w:type="dxa"/>
            <w:vAlign w:val="center"/>
          </w:tcPr>
          <w:p w14:paraId="3456B0B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1.知道医院环境的分类、良好的医院环境应具备的特点、医院环境调控的有关要素。</w:t>
            </w:r>
          </w:p>
          <w:p w14:paraId="7CC5C972"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2.能正确运用相关知识为病人创造安全、舒适的治疗环境。</w:t>
            </w:r>
          </w:p>
        </w:tc>
      </w:tr>
      <w:tr w:rsidR="00BD2C6E" w14:paraId="281C2058" w14:textId="77777777">
        <w:trPr>
          <w:trHeight w:val="545"/>
        </w:trPr>
        <w:tc>
          <w:tcPr>
            <w:tcW w:w="1242" w:type="dxa"/>
            <w:vAlign w:val="center"/>
          </w:tcPr>
          <w:p w14:paraId="5F16BA32"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2</w:t>
            </w:r>
          </w:p>
        </w:tc>
        <w:tc>
          <w:tcPr>
            <w:tcW w:w="1843" w:type="dxa"/>
            <w:vAlign w:val="center"/>
          </w:tcPr>
          <w:p w14:paraId="05F20475"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预防与控制医院感染</w:t>
            </w:r>
          </w:p>
        </w:tc>
        <w:tc>
          <w:tcPr>
            <w:tcW w:w="6306" w:type="dxa"/>
            <w:vAlign w:val="center"/>
          </w:tcPr>
          <w:p w14:paraId="30A1AC62"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1.知道医院感染的分类、形成原因及条件。</w:t>
            </w:r>
          </w:p>
          <w:p w14:paraId="455F0810"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2.知道常用的消毒灭菌方法及注意事项。</w:t>
            </w:r>
          </w:p>
          <w:p w14:paraId="69C52D32"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3.知道无菌技术操作原则和隔离原则。</w:t>
            </w:r>
          </w:p>
          <w:p w14:paraId="4C63B9C5"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4.理解医院感染、清洁、消毒、灭菌、手卫生、无菌技术、标准预防及隔离的概念。</w:t>
            </w:r>
          </w:p>
          <w:p w14:paraId="28DA95E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5.理解隔离区域的划分标准、医院不同病区的建筑布局与隔离要求、常见的隔离类型及相应的隔离措施。</w:t>
            </w:r>
          </w:p>
          <w:p w14:paraId="64B5A8DD"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6.能正确进行手卫生、无菌技术基本操作、隔离技术基本操作。</w:t>
            </w:r>
          </w:p>
        </w:tc>
      </w:tr>
      <w:tr w:rsidR="00BD2C6E" w14:paraId="693B6A0A" w14:textId="77777777">
        <w:trPr>
          <w:trHeight w:val="545"/>
        </w:trPr>
        <w:tc>
          <w:tcPr>
            <w:tcW w:w="1242" w:type="dxa"/>
            <w:vAlign w:val="center"/>
          </w:tcPr>
          <w:p w14:paraId="5A11A5AF"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720E22FB"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患者入院和出院护理</w:t>
            </w:r>
          </w:p>
        </w:tc>
        <w:tc>
          <w:tcPr>
            <w:tcW w:w="6306" w:type="dxa"/>
            <w:vAlign w:val="center"/>
          </w:tcPr>
          <w:p w14:paraId="2360F36B"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1.知道病人</w:t>
            </w:r>
            <w:proofErr w:type="gramStart"/>
            <w:r>
              <w:rPr>
                <w:rFonts w:ascii="宋体" w:eastAsia="宋体" w:hAnsi="宋体" w:cs="Times New Roman" w:hint="eastAsia"/>
                <w:color w:val="000000"/>
                <w:szCs w:val="21"/>
              </w:rPr>
              <w:t>床单位</w:t>
            </w:r>
            <w:proofErr w:type="gramEnd"/>
            <w:r>
              <w:rPr>
                <w:rFonts w:ascii="宋体" w:eastAsia="宋体" w:hAnsi="宋体" w:cs="Times New Roman" w:hint="eastAsia"/>
                <w:color w:val="000000"/>
                <w:szCs w:val="21"/>
              </w:rPr>
              <w:t>所包含的固定设备、入院护理和出院护理的目的。</w:t>
            </w:r>
          </w:p>
          <w:p w14:paraId="596709A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2.知道临床上常用卧位的适用范围及临床意义。</w:t>
            </w:r>
          </w:p>
          <w:p w14:paraId="60E9B42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3.知道分级护理的级别、适用对象及相应的护理要点。</w:t>
            </w:r>
          </w:p>
          <w:p w14:paraId="00B0A193"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4.理解分级护理的概念。</w:t>
            </w:r>
          </w:p>
          <w:p w14:paraId="13332560"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5.理解卧位的分类方法、变换卧位法的目的、操作中的注意事项、在护理工作中保证病人平衡与稳定的措施。</w:t>
            </w:r>
          </w:p>
          <w:p w14:paraId="2C2D845B"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6.能正确运用铺床方法为新病人、暂时离床病人、麻醉手术后病人或长期卧床病人准备安全、整洁、舒适的床单位；能为病人安置舒适卧位；能按正确的方法协助病人变换卧位；能正确使用轮椅或平车运送病人；能正确运用人体力学原理。</w:t>
            </w:r>
          </w:p>
        </w:tc>
      </w:tr>
      <w:tr w:rsidR="00BD2C6E" w14:paraId="54445C69" w14:textId="77777777">
        <w:trPr>
          <w:trHeight w:val="545"/>
        </w:trPr>
        <w:tc>
          <w:tcPr>
            <w:tcW w:w="1242" w:type="dxa"/>
            <w:vAlign w:val="center"/>
          </w:tcPr>
          <w:p w14:paraId="275FF510"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27492681"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病人安全与护士职业防护</w:t>
            </w:r>
          </w:p>
        </w:tc>
        <w:tc>
          <w:tcPr>
            <w:tcW w:w="6306" w:type="dxa"/>
            <w:vAlign w:val="center"/>
          </w:tcPr>
          <w:p w14:paraId="3C56E57A"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1.知道保护具、辅助器使用的目的及操作中的注意事项。</w:t>
            </w:r>
          </w:p>
          <w:p w14:paraId="6CAE3F27"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2.知道职业暴露的有害因素及对人体的影响。</w:t>
            </w:r>
          </w:p>
          <w:p w14:paraId="73B9A01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3.理解安全环境、保护具、职业暴露、护理职业暴露、职业防护、护理职业防护、标准预防及护理职业风险的概念。</w:t>
            </w:r>
          </w:p>
          <w:p w14:paraId="333FAC56"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4.理解医院常见的不安全因素、血源性病原体职业暴露、锐器伤、化疗药物职业</w:t>
            </w:r>
            <w:proofErr w:type="gramStart"/>
            <w:r>
              <w:rPr>
                <w:rFonts w:ascii="宋体" w:eastAsia="宋体" w:hAnsi="宋体" w:cs="Times New Roman" w:hint="eastAsia"/>
                <w:color w:val="000000"/>
                <w:szCs w:val="21"/>
              </w:rPr>
              <w:t>暴露及汞泄漏</w:t>
            </w:r>
            <w:proofErr w:type="gramEnd"/>
            <w:r>
              <w:rPr>
                <w:rFonts w:ascii="宋体" w:eastAsia="宋体" w:hAnsi="宋体" w:cs="Times New Roman" w:hint="eastAsia"/>
                <w:color w:val="000000"/>
                <w:szCs w:val="21"/>
              </w:rPr>
              <w:t>产生的原因及预防措施。</w:t>
            </w:r>
          </w:p>
          <w:p w14:paraId="2CC31D36"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5.能正确选择和科学使用各种保护具及辅助器具保证病人安全；正确处理锐器伤，并采取有效的、针对性的防护措施。</w:t>
            </w:r>
          </w:p>
        </w:tc>
      </w:tr>
      <w:tr w:rsidR="00BD2C6E" w14:paraId="4F386272" w14:textId="77777777">
        <w:trPr>
          <w:trHeight w:val="274"/>
        </w:trPr>
        <w:tc>
          <w:tcPr>
            <w:tcW w:w="1242" w:type="dxa"/>
            <w:vAlign w:val="center"/>
          </w:tcPr>
          <w:p w14:paraId="5D9A0009"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78003594"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患者的清洁卫生</w:t>
            </w:r>
          </w:p>
        </w:tc>
        <w:tc>
          <w:tcPr>
            <w:tcW w:w="6306" w:type="dxa"/>
            <w:vAlign w:val="center"/>
          </w:tcPr>
          <w:p w14:paraId="3B14669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1.知道口腔护理、头发护理、皮肤护理及会阴部护理的评估内容、目的和操作注意事项。</w:t>
            </w:r>
          </w:p>
          <w:p w14:paraId="18B0005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2.知道常用的口腔护理溶液及其作用。</w:t>
            </w:r>
          </w:p>
          <w:p w14:paraId="330951B6"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3.知道压力性损伤发生的原因、高危人群及易患部位。</w:t>
            </w:r>
          </w:p>
          <w:p w14:paraId="079079A1"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4.理解压力性损伤、剪切力的概念、压力性损伤发生的高危人群及预防措施、压力性损伤各期的临床表现、预防压力性损伤的护理措</w:t>
            </w:r>
            <w:r>
              <w:rPr>
                <w:rFonts w:ascii="宋体" w:eastAsia="宋体" w:hAnsi="宋体" w:cs="Times New Roman" w:hint="eastAsia"/>
                <w:color w:val="000000"/>
                <w:szCs w:val="21"/>
              </w:rPr>
              <w:lastRenderedPageBreak/>
              <w:t>施。</w:t>
            </w:r>
          </w:p>
          <w:p w14:paraId="4C96C60B"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5.能正确进行口腔护理、头发护理、皮肤护理、会阴部</w:t>
            </w:r>
            <w:proofErr w:type="gramStart"/>
            <w:r>
              <w:rPr>
                <w:rFonts w:ascii="宋体" w:eastAsia="宋体" w:hAnsi="宋体" w:cs="Times New Roman" w:hint="eastAsia"/>
                <w:color w:val="000000"/>
                <w:szCs w:val="21"/>
              </w:rPr>
              <w:t>护理及晨晚间</w:t>
            </w:r>
            <w:proofErr w:type="gramEnd"/>
            <w:r>
              <w:rPr>
                <w:rFonts w:ascii="宋体" w:eastAsia="宋体" w:hAnsi="宋体" w:cs="Times New Roman" w:hint="eastAsia"/>
                <w:color w:val="000000"/>
                <w:szCs w:val="21"/>
              </w:rPr>
              <w:t>护理；正确指导病人采取有效措施预防压力性损伤的发生。</w:t>
            </w:r>
          </w:p>
        </w:tc>
      </w:tr>
      <w:tr w:rsidR="00BD2C6E" w14:paraId="456F8AAB" w14:textId="77777777">
        <w:trPr>
          <w:trHeight w:val="545"/>
        </w:trPr>
        <w:tc>
          <w:tcPr>
            <w:tcW w:w="1242" w:type="dxa"/>
            <w:vAlign w:val="center"/>
          </w:tcPr>
          <w:p w14:paraId="41259012"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6</w:t>
            </w:r>
          </w:p>
        </w:tc>
        <w:tc>
          <w:tcPr>
            <w:tcW w:w="1843" w:type="dxa"/>
            <w:vAlign w:val="center"/>
          </w:tcPr>
          <w:p w14:paraId="5914E884"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休息与活动</w:t>
            </w:r>
          </w:p>
        </w:tc>
        <w:tc>
          <w:tcPr>
            <w:tcW w:w="6306" w:type="dxa"/>
          </w:tcPr>
          <w:p w14:paraId="1228F1F6"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1.知道睡眠各时相的特点、失眠的原因及诊断标准、关节活动练习的目的。</w:t>
            </w:r>
          </w:p>
          <w:p w14:paraId="47D73452"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2.理解住院病人睡眠的特点、活动受限的原因及对机体的影响、病人的肌力和机体活动能力的级别。</w:t>
            </w:r>
          </w:p>
          <w:p w14:paraId="25FF125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3.能采取有效的护理措施促进病人的睡眠、协助病人活动。</w:t>
            </w:r>
          </w:p>
        </w:tc>
      </w:tr>
      <w:tr w:rsidR="00BD2C6E" w14:paraId="0F04E867" w14:textId="77777777">
        <w:trPr>
          <w:trHeight w:val="545"/>
        </w:trPr>
        <w:tc>
          <w:tcPr>
            <w:tcW w:w="1242" w:type="dxa"/>
            <w:vAlign w:val="center"/>
          </w:tcPr>
          <w:p w14:paraId="63278DA6"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7F71F6BD"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医疗与护理文件</w:t>
            </w:r>
          </w:p>
        </w:tc>
        <w:tc>
          <w:tcPr>
            <w:tcW w:w="6306" w:type="dxa"/>
          </w:tcPr>
          <w:p w14:paraId="52139DE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1.知道医疗与护理文件的记录原则及管理要求、医嘱处理的注意事项、病区交班报告书写顺序及要求。</w:t>
            </w:r>
          </w:p>
          <w:p w14:paraId="559DA0D3"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2.理解医疗与护理文件记录的重要性、医嘱的种类。</w:t>
            </w:r>
          </w:p>
          <w:p w14:paraId="1B2FACCD"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3.能正确绘制体温单、处理各种医嘱、书写出入</w:t>
            </w:r>
            <w:proofErr w:type="gramStart"/>
            <w:r>
              <w:rPr>
                <w:rFonts w:ascii="宋体" w:eastAsia="宋体" w:hAnsi="宋体" w:cs="Times New Roman" w:hint="eastAsia"/>
                <w:color w:val="000000"/>
                <w:szCs w:val="21"/>
              </w:rPr>
              <w:t>液记录</w:t>
            </w:r>
            <w:proofErr w:type="gramEnd"/>
            <w:r>
              <w:rPr>
                <w:rFonts w:ascii="宋体" w:eastAsia="宋体" w:hAnsi="宋体" w:cs="Times New Roman" w:hint="eastAsia"/>
                <w:color w:val="000000"/>
                <w:szCs w:val="21"/>
              </w:rPr>
              <w:t>单、特殊护理记录单、病区交班报告。</w:t>
            </w:r>
          </w:p>
        </w:tc>
      </w:tr>
      <w:tr w:rsidR="00BD2C6E" w14:paraId="3FC93EF4" w14:textId="77777777">
        <w:trPr>
          <w:trHeight w:val="545"/>
        </w:trPr>
        <w:tc>
          <w:tcPr>
            <w:tcW w:w="1242" w:type="dxa"/>
            <w:vAlign w:val="center"/>
          </w:tcPr>
          <w:p w14:paraId="4A54662C"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8</w:t>
            </w:r>
          </w:p>
        </w:tc>
        <w:tc>
          <w:tcPr>
            <w:tcW w:w="1843" w:type="dxa"/>
            <w:vAlign w:val="center"/>
          </w:tcPr>
          <w:p w14:paraId="22E08D03"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生命体征评估与护理</w:t>
            </w:r>
          </w:p>
        </w:tc>
        <w:tc>
          <w:tcPr>
            <w:tcW w:w="6306" w:type="dxa"/>
          </w:tcPr>
          <w:p w14:paraId="1B8E7C91"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1.知道体温、脉搏、呼吸、血压的正常值及生理变化。</w:t>
            </w:r>
          </w:p>
          <w:p w14:paraId="444D7D4C"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体温过高、体温过低、稽留热、弛张热、间歇热、不规则热、心动过速、心动过缓、间歇脉、脉搏短绌、洪脉、细脉、交替脉、水冲脉、奇脉、高血压、低血压、呼吸增快、呼吸减慢、深度呼吸、潮式呼吸、间断呼吸、胸叩击、体位引流、吸痰法及氧气疗法的概念。</w:t>
            </w:r>
          </w:p>
          <w:p w14:paraId="6BCCB66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3.理解异常体温、脉搏、呼吸、血压及吸痰方法。</w:t>
            </w:r>
          </w:p>
          <w:p w14:paraId="277E9FE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4.能正确测量和记录体温、脉搏、呼吸、血压；对缺氧病人实施正确的氧气疗法。</w:t>
            </w:r>
          </w:p>
        </w:tc>
      </w:tr>
      <w:tr w:rsidR="00BD2C6E" w14:paraId="718B6DD6" w14:textId="77777777">
        <w:trPr>
          <w:trHeight w:val="545"/>
        </w:trPr>
        <w:tc>
          <w:tcPr>
            <w:tcW w:w="1242" w:type="dxa"/>
            <w:vAlign w:val="center"/>
          </w:tcPr>
          <w:p w14:paraId="2680EEE8"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9</w:t>
            </w:r>
          </w:p>
        </w:tc>
        <w:tc>
          <w:tcPr>
            <w:tcW w:w="1843" w:type="dxa"/>
            <w:vAlign w:val="center"/>
          </w:tcPr>
          <w:p w14:paraId="3B5A1312"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冷、热疗法</w:t>
            </w:r>
          </w:p>
        </w:tc>
        <w:tc>
          <w:tcPr>
            <w:tcW w:w="6306" w:type="dxa"/>
          </w:tcPr>
          <w:p w14:paraId="099A7CBF"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1.知道冷、热疗法的生理效应和继发效应、影响冷、热疗法效果的因素。</w:t>
            </w:r>
          </w:p>
          <w:p w14:paraId="06B071C0"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2.理解冷、热疗法、继发效应的概念、冷疗法和热疗法的禁忌、各种冷疗法、热疗法的目的和方法。</w:t>
            </w:r>
          </w:p>
          <w:p w14:paraId="3A08755E"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3.能运用所学知识正确选择并实施冷、热疗法。</w:t>
            </w:r>
          </w:p>
        </w:tc>
      </w:tr>
      <w:tr w:rsidR="00BD2C6E" w14:paraId="6D15E83B" w14:textId="77777777">
        <w:trPr>
          <w:trHeight w:val="545"/>
        </w:trPr>
        <w:tc>
          <w:tcPr>
            <w:tcW w:w="1242" w:type="dxa"/>
            <w:vAlign w:val="center"/>
          </w:tcPr>
          <w:p w14:paraId="0D01B104"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10</w:t>
            </w:r>
          </w:p>
        </w:tc>
        <w:tc>
          <w:tcPr>
            <w:tcW w:w="1843" w:type="dxa"/>
            <w:vAlign w:val="center"/>
          </w:tcPr>
          <w:p w14:paraId="14F0AD1D" w14:textId="77777777" w:rsidR="00BD2C6E" w:rsidRDefault="00000000">
            <w:pPr>
              <w:snapToGrid w:val="0"/>
              <w:spacing w:line="288" w:lineRule="auto"/>
              <w:jc w:val="center"/>
              <w:rPr>
                <w:rFonts w:ascii="微软雅黑" w:eastAsia="微软雅黑" w:hAnsi="微软雅黑" w:cs="微软雅黑" w:hint="eastAsia"/>
                <w:bCs/>
                <w:kern w:val="0"/>
                <w:szCs w:val="21"/>
                <w:shd w:val="clear" w:color="auto" w:fill="FFFFFF"/>
              </w:rPr>
            </w:pPr>
            <w:r>
              <w:rPr>
                <w:rFonts w:ascii="微软雅黑" w:eastAsia="微软雅黑" w:hAnsi="微软雅黑" w:cs="微软雅黑" w:hint="eastAsia"/>
                <w:bCs/>
                <w:kern w:val="0"/>
                <w:szCs w:val="21"/>
                <w:shd w:val="clear" w:color="auto" w:fill="FFFFFF"/>
              </w:rPr>
              <w:t>饮食与营养</w:t>
            </w:r>
          </w:p>
        </w:tc>
        <w:tc>
          <w:tcPr>
            <w:tcW w:w="6306" w:type="dxa"/>
          </w:tcPr>
          <w:p w14:paraId="702DF006"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1.知道医院饮食的类别及各类饮食的种类、原则与适用范围。</w:t>
            </w:r>
          </w:p>
          <w:p w14:paraId="2D5E02C1"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2.知道鼻饲术的适应证、禁忌证及注意事项。</w:t>
            </w:r>
          </w:p>
          <w:p w14:paraId="0A9C613C"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3.理解治疗饮食、试验饮食、鼻饲法、要素饮食、胃肠外营养的概念。</w:t>
            </w:r>
          </w:p>
          <w:p w14:paraId="2C4AFA56"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4.理解要素饮食、胃肠外营养的并发症及注意事项。</w:t>
            </w:r>
          </w:p>
          <w:p w14:paraId="53729047"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5.能规范地进行鼻饲法管喂饮食操作、能正确运用三种方法检查胃管是否在胃内。</w:t>
            </w:r>
          </w:p>
        </w:tc>
      </w:tr>
      <w:tr w:rsidR="00BD2C6E" w14:paraId="2FF2EFAC" w14:textId="77777777">
        <w:trPr>
          <w:trHeight w:val="545"/>
        </w:trPr>
        <w:tc>
          <w:tcPr>
            <w:tcW w:w="1242" w:type="dxa"/>
            <w:vAlign w:val="center"/>
          </w:tcPr>
          <w:p w14:paraId="7C7B039C"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11</w:t>
            </w:r>
          </w:p>
        </w:tc>
        <w:tc>
          <w:tcPr>
            <w:tcW w:w="1843" w:type="dxa"/>
            <w:vAlign w:val="center"/>
          </w:tcPr>
          <w:p w14:paraId="16467255" w14:textId="77777777" w:rsidR="00BD2C6E" w:rsidRDefault="00000000">
            <w:pPr>
              <w:snapToGrid w:val="0"/>
              <w:spacing w:line="288" w:lineRule="auto"/>
              <w:jc w:val="center"/>
              <w:rPr>
                <w:rFonts w:ascii="微软雅黑" w:eastAsia="微软雅黑" w:hAnsi="微软雅黑" w:cs="微软雅黑" w:hint="eastAsia"/>
                <w:bCs/>
                <w:kern w:val="0"/>
                <w:szCs w:val="21"/>
                <w:shd w:val="clear" w:color="auto" w:fill="FFFFFF"/>
              </w:rPr>
            </w:pPr>
            <w:r>
              <w:rPr>
                <w:rFonts w:ascii="微软雅黑" w:eastAsia="微软雅黑" w:hAnsi="微软雅黑" w:cs="微软雅黑" w:hint="eastAsia"/>
                <w:bCs/>
                <w:kern w:val="0"/>
                <w:szCs w:val="21"/>
                <w:shd w:val="clear" w:color="auto" w:fill="FFFFFF"/>
              </w:rPr>
              <w:t>排泄</w:t>
            </w:r>
          </w:p>
        </w:tc>
        <w:tc>
          <w:tcPr>
            <w:tcW w:w="6306" w:type="dxa"/>
          </w:tcPr>
          <w:p w14:paraId="279CE7B2"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1.知道与排便、排尿有关的解剖和生理、尿液、粪便观察的主要内容。</w:t>
            </w:r>
          </w:p>
          <w:p w14:paraId="49714FB6"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2.理解多尿、少尿、无尿、膀胱刺激征、尿潴留、尿失禁、导尿术、便秘、腹泻、排便失禁、灌肠法及肛管排气的概念。</w:t>
            </w:r>
          </w:p>
          <w:p w14:paraId="1B0BCDDD"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3.理解影响排便、排尿的因素、导致排尿、排便异常的原因、留置导尿术病人的护理要点。</w:t>
            </w:r>
          </w:p>
          <w:p w14:paraId="2EE55B79"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4.能规范完成导尿术、留置导尿术、大量不保留灌肠和保留灌肠的操作技术；能选择恰当的护理措施对排尿异常及排便异常病人进行</w:t>
            </w:r>
            <w:r>
              <w:rPr>
                <w:rFonts w:ascii="宋体" w:eastAsia="宋体" w:hAnsi="宋体" w:cs="Times New Roman" w:hint="eastAsia"/>
                <w:color w:val="000000"/>
                <w:szCs w:val="21"/>
              </w:rPr>
              <w:lastRenderedPageBreak/>
              <w:t>护理。</w:t>
            </w:r>
          </w:p>
        </w:tc>
      </w:tr>
      <w:tr w:rsidR="00BD2C6E" w14:paraId="33CC4D6D" w14:textId="77777777">
        <w:trPr>
          <w:trHeight w:val="545"/>
        </w:trPr>
        <w:tc>
          <w:tcPr>
            <w:tcW w:w="1242" w:type="dxa"/>
            <w:vAlign w:val="center"/>
          </w:tcPr>
          <w:p w14:paraId="15E1749A"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12</w:t>
            </w:r>
          </w:p>
        </w:tc>
        <w:tc>
          <w:tcPr>
            <w:tcW w:w="1843" w:type="dxa"/>
            <w:vAlign w:val="center"/>
          </w:tcPr>
          <w:p w14:paraId="0542E6A1" w14:textId="77777777" w:rsidR="00BD2C6E" w:rsidRDefault="00000000">
            <w:pPr>
              <w:snapToGrid w:val="0"/>
              <w:spacing w:line="288" w:lineRule="auto"/>
              <w:jc w:val="center"/>
              <w:rPr>
                <w:rFonts w:ascii="微软雅黑" w:eastAsia="微软雅黑" w:hAnsi="微软雅黑" w:cs="微软雅黑" w:hint="eastAsia"/>
                <w:bCs/>
                <w:kern w:val="0"/>
                <w:szCs w:val="21"/>
                <w:shd w:val="clear" w:color="auto" w:fill="FFFFFF"/>
              </w:rPr>
            </w:pPr>
            <w:r>
              <w:rPr>
                <w:rFonts w:ascii="微软雅黑" w:eastAsia="微软雅黑" w:hAnsi="微软雅黑" w:cs="微软雅黑" w:hint="eastAsia"/>
                <w:bCs/>
                <w:kern w:val="0"/>
                <w:szCs w:val="21"/>
                <w:shd w:val="clear" w:color="auto" w:fill="FFFFFF"/>
              </w:rPr>
              <w:t>给药</w:t>
            </w:r>
          </w:p>
        </w:tc>
        <w:tc>
          <w:tcPr>
            <w:tcW w:w="6306" w:type="dxa"/>
          </w:tcPr>
          <w:p w14:paraId="7296682E"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1.知道常用药物的种类和常用给药医嘱的外文缩写词、给药途径和给药原则。</w:t>
            </w:r>
          </w:p>
          <w:p w14:paraId="0F27A7AC"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2.知道注射原则、各种注射方法的目的、常用部位及注意事项。</w:t>
            </w:r>
          </w:p>
          <w:p w14:paraId="7F5827CE"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3.知道常用过敏试验液的配制浓度、注入剂量和试验结果判断、青霉素过敏反应的原因和预防措施、破伤风抗毒素脱敏注射的原理和方法。</w:t>
            </w:r>
          </w:p>
          <w:p w14:paraId="73FBFE1F"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4.理解口服给药法、注射法、皮内注射法、皮下注射法、肌内注射法、静脉注射、雾化吸入法、超声雾化吸入法、氧气雾化吸入法、过敏反应及破伤风抗毒素脱敏注射法的概念。</w:t>
            </w:r>
          </w:p>
          <w:p w14:paraId="2550E7DF"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5.理解药物保管的要求、不同性能药物口服时的注意事项、静脉注射失败的原因、青霉素过敏性休克的临床表现。</w:t>
            </w:r>
          </w:p>
          <w:p w14:paraId="2BDC0C30"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6.能以正确的方法完成各种注射法、超声雾化吸入法、氧气雾化吸入法的操作。</w:t>
            </w:r>
          </w:p>
        </w:tc>
      </w:tr>
      <w:tr w:rsidR="00BD2C6E" w14:paraId="127F59B8" w14:textId="77777777">
        <w:trPr>
          <w:trHeight w:val="545"/>
        </w:trPr>
        <w:tc>
          <w:tcPr>
            <w:tcW w:w="1242" w:type="dxa"/>
            <w:vAlign w:val="center"/>
          </w:tcPr>
          <w:p w14:paraId="3FC32D15"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13</w:t>
            </w:r>
          </w:p>
        </w:tc>
        <w:tc>
          <w:tcPr>
            <w:tcW w:w="1843" w:type="dxa"/>
            <w:vAlign w:val="center"/>
          </w:tcPr>
          <w:p w14:paraId="3DA55A57" w14:textId="77777777" w:rsidR="00BD2C6E" w:rsidRDefault="00000000">
            <w:pPr>
              <w:snapToGrid w:val="0"/>
              <w:spacing w:line="288" w:lineRule="auto"/>
              <w:jc w:val="center"/>
              <w:rPr>
                <w:rFonts w:ascii="微软雅黑" w:eastAsia="微软雅黑" w:hAnsi="微软雅黑" w:cs="微软雅黑" w:hint="eastAsia"/>
                <w:bCs/>
                <w:kern w:val="0"/>
                <w:szCs w:val="21"/>
                <w:shd w:val="clear" w:color="auto" w:fill="FFFFFF"/>
              </w:rPr>
            </w:pPr>
            <w:r>
              <w:rPr>
                <w:rFonts w:ascii="微软雅黑" w:eastAsia="微软雅黑" w:hAnsi="微软雅黑" w:cs="微软雅黑" w:hint="eastAsia"/>
                <w:bCs/>
                <w:kern w:val="0"/>
                <w:szCs w:val="21"/>
                <w:shd w:val="clear" w:color="auto" w:fill="FFFFFF"/>
              </w:rPr>
              <w:t>静脉输液与输血</w:t>
            </w:r>
          </w:p>
        </w:tc>
        <w:tc>
          <w:tcPr>
            <w:tcW w:w="6306" w:type="dxa"/>
          </w:tcPr>
          <w:p w14:paraId="0B87A209"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1.知道静脉输液的目的、静脉补液应遵循的原则、常见输液障碍的种类。</w:t>
            </w:r>
          </w:p>
          <w:p w14:paraId="6D5FF25B"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2.知道静脉输血的目的和原则、自体输血的优点、成分输血的特点。</w:t>
            </w:r>
          </w:p>
          <w:p w14:paraId="14E18B0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3.理解静脉输液、输液微粒、输液微粒污染、密闭式输液法、开放式输液法、静脉输血、间接输血法、直接输血法、血型、ABO血型鉴定、直接交叉配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及间接交叉配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的概念。</w:t>
            </w:r>
          </w:p>
          <w:p w14:paraId="2B9ED8F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4.理解静脉输液的原理、常用溶液的种类及作用、周围静脉输液法、静脉输血法及成分输血的注意事项、输液过程中</w:t>
            </w:r>
            <w:proofErr w:type="gramStart"/>
            <w:r>
              <w:rPr>
                <w:rFonts w:ascii="宋体" w:eastAsia="宋体" w:hAnsi="宋体" w:cs="Times New Roman" w:hint="eastAsia"/>
                <w:color w:val="000000"/>
                <w:szCs w:val="21"/>
              </w:rPr>
              <w:t>溶液不滴的</w:t>
            </w:r>
            <w:proofErr w:type="gramEnd"/>
            <w:r>
              <w:rPr>
                <w:rFonts w:ascii="宋体" w:eastAsia="宋体" w:hAnsi="宋体" w:cs="Times New Roman" w:hint="eastAsia"/>
                <w:color w:val="000000"/>
                <w:szCs w:val="21"/>
              </w:rPr>
              <w:t>原因、常见输液反应及常见输血反应的原因、各种血液制品的种类及作用。</w:t>
            </w:r>
          </w:p>
          <w:p w14:paraId="07F664A2"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5.能正确计算静脉输液的速度和时间；能用正确的方法排除输液过程中出现的各种障碍。</w:t>
            </w:r>
          </w:p>
        </w:tc>
      </w:tr>
      <w:tr w:rsidR="00BD2C6E" w14:paraId="1FDC05EE" w14:textId="77777777">
        <w:trPr>
          <w:trHeight w:val="545"/>
        </w:trPr>
        <w:tc>
          <w:tcPr>
            <w:tcW w:w="1242" w:type="dxa"/>
            <w:vAlign w:val="center"/>
          </w:tcPr>
          <w:p w14:paraId="3AA1AA88"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14</w:t>
            </w:r>
          </w:p>
        </w:tc>
        <w:tc>
          <w:tcPr>
            <w:tcW w:w="1843" w:type="dxa"/>
            <w:vAlign w:val="center"/>
          </w:tcPr>
          <w:p w14:paraId="6717F035" w14:textId="77777777" w:rsidR="00BD2C6E" w:rsidRDefault="00000000">
            <w:pPr>
              <w:snapToGrid w:val="0"/>
              <w:spacing w:line="288" w:lineRule="auto"/>
              <w:jc w:val="center"/>
              <w:rPr>
                <w:rFonts w:ascii="微软雅黑" w:eastAsia="微软雅黑" w:hAnsi="微软雅黑" w:cs="微软雅黑" w:hint="eastAsia"/>
                <w:bCs/>
                <w:kern w:val="0"/>
                <w:szCs w:val="21"/>
                <w:shd w:val="clear" w:color="auto" w:fill="FFFFFF"/>
              </w:rPr>
            </w:pPr>
            <w:r>
              <w:rPr>
                <w:rFonts w:ascii="微软雅黑" w:eastAsia="微软雅黑" w:hAnsi="微软雅黑" w:cs="微软雅黑" w:hint="eastAsia"/>
                <w:bCs/>
                <w:kern w:val="0"/>
                <w:szCs w:val="21"/>
                <w:shd w:val="clear" w:color="auto" w:fill="FFFFFF"/>
              </w:rPr>
              <w:t>标本采集</w:t>
            </w:r>
          </w:p>
        </w:tc>
        <w:tc>
          <w:tcPr>
            <w:tcW w:w="6306" w:type="dxa"/>
          </w:tcPr>
          <w:p w14:paraId="1C670210"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1.知道标本采集的基本原则、血液标本、尿液标本、粪便标本、痰液标本及咽拭子标本采集的目的及注意事项。</w:t>
            </w:r>
          </w:p>
          <w:p w14:paraId="36C6ED5D"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2.知道留取12小时或24小时尿标本常用防腐剂的种类、作用与用法。</w:t>
            </w:r>
          </w:p>
          <w:p w14:paraId="088CE28E"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3.理解不同类型的静脉血标本采集的目的、采血量、方法及标本容器选择的不同点。</w:t>
            </w:r>
          </w:p>
        </w:tc>
      </w:tr>
      <w:tr w:rsidR="00BD2C6E" w14:paraId="2C5E779C" w14:textId="77777777">
        <w:trPr>
          <w:trHeight w:val="545"/>
        </w:trPr>
        <w:tc>
          <w:tcPr>
            <w:tcW w:w="1242" w:type="dxa"/>
            <w:vAlign w:val="center"/>
          </w:tcPr>
          <w:p w14:paraId="56DC329B"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15</w:t>
            </w:r>
          </w:p>
        </w:tc>
        <w:tc>
          <w:tcPr>
            <w:tcW w:w="1843" w:type="dxa"/>
            <w:vAlign w:val="center"/>
          </w:tcPr>
          <w:p w14:paraId="588E5885" w14:textId="77777777" w:rsidR="00BD2C6E" w:rsidRDefault="00000000">
            <w:pPr>
              <w:snapToGrid w:val="0"/>
              <w:spacing w:line="288" w:lineRule="auto"/>
              <w:jc w:val="center"/>
              <w:rPr>
                <w:rFonts w:ascii="微软雅黑" w:eastAsia="微软雅黑" w:hAnsi="微软雅黑" w:cs="微软雅黑" w:hint="eastAsia"/>
                <w:bCs/>
                <w:kern w:val="0"/>
                <w:szCs w:val="21"/>
                <w:shd w:val="clear" w:color="auto" w:fill="FFFFFF"/>
              </w:rPr>
            </w:pPr>
            <w:r>
              <w:rPr>
                <w:rFonts w:ascii="微软雅黑" w:eastAsia="微软雅黑" w:hAnsi="微软雅黑" w:cs="微软雅黑" w:hint="eastAsia"/>
                <w:bCs/>
                <w:kern w:val="0"/>
                <w:szCs w:val="21"/>
                <w:shd w:val="clear" w:color="auto" w:fill="FFFFFF"/>
              </w:rPr>
              <w:t>病情观察及危重患者管理</w:t>
            </w:r>
          </w:p>
        </w:tc>
        <w:tc>
          <w:tcPr>
            <w:tcW w:w="6306" w:type="dxa"/>
          </w:tcPr>
          <w:p w14:paraId="67E6DBF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1.知道病情观察的内容及方法、洗胃的目的、常用洗胃溶液、简易呼吸器的操作要点。</w:t>
            </w:r>
          </w:p>
          <w:p w14:paraId="1E91003A"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2.理解意识状态、意识障碍、轻度昏迷、深度昏迷、洗胃的概念、意识障碍的种类、洗胃的注意事项。</w:t>
            </w:r>
          </w:p>
          <w:p w14:paraId="3BC269B7"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3.能按照正确的原则和方法完成洗胃法、简易人工呼吸器的操作。</w:t>
            </w:r>
          </w:p>
        </w:tc>
      </w:tr>
      <w:tr w:rsidR="00BD2C6E" w14:paraId="2B233C96" w14:textId="77777777">
        <w:trPr>
          <w:trHeight w:val="545"/>
        </w:trPr>
        <w:tc>
          <w:tcPr>
            <w:tcW w:w="1242" w:type="dxa"/>
            <w:vAlign w:val="center"/>
          </w:tcPr>
          <w:p w14:paraId="3F1F6540" w14:textId="77777777" w:rsidR="00BD2C6E" w:rsidRDefault="00000000">
            <w:pPr>
              <w:pStyle w:val="a7"/>
              <w:widowControl/>
              <w:spacing w:before="60" w:beforeAutospacing="0" w:afterAutospacing="0" w:line="360" w:lineRule="exact"/>
              <w:jc w:val="center"/>
              <w:rPr>
                <w:rFonts w:ascii="微软雅黑" w:eastAsia="微软雅黑" w:hAnsi="微软雅黑" w:cs="微软雅黑" w:hint="eastAsia"/>
                <w:bCs/>
                <w:sz w:val="21"/>
                <w:szCs w:val="21"/>
                <w:shd w:val="clear" w:color="auto" w:fill="FFFFFF"/>
              </w:rPr>
            </w:pPr>
            <w:r>
              <w:rPr>
                <w:rFonts w:ascii="微软雅黑" w:eastAsia="微软雅黑" w:hAnsi="微软雅黑" w:cs="微软雅黑" w:hint="eastAsia"/>
                <w:bCs/>
                <w:sz w:val="21"/>
                <w:szCs w:val="21"/>
                <w:shd w:val="clear" w:color="auto" w:fill="FFFFFF"/>
              </w:rPr>
              <w:t>16</w:t>
            </w:r>
          </w:p>
        </w:tc>
        <w:tc>
          <w:tcPr>
            <w:tcW w:w="1843" w:type="dxa"/>
            <w:vAlign w:val="center"/>
          </w:tcPr>
          <w:p w14:paraId="327C3054" w14:textId="77777777" w:rsidR="00BD2C6E" w:rsidRDefault="00000000">
            <w:pPr>
              <w:snapToGrid w:val="0"/>
              <w:spacing w:line="288" w:lineRule="auto"/>
              <w:jc w:val="center"/>
              <w:rPr>
                <w:rFonts w:ascii="微软雅黑" w:eastAsia="微软雅黑" w:hAnsi="微软雅黑" w:cs="微软雅黑" w:hint="eastAsia"/>
                <w:bCs/>
                <w:kern w:val="0"/>
                <w:szCs w:val="21"/>
                <w:shd w:val="clear" w:color="auto" w:fill="FFFFFF"/>
              </w:rPr>
            </w:pPr>
            <w:r>
              <w:rPr>
                <w:rFonts w:ascii="微软雅黑" w:eastAsia="微软雅黑" w:hAnsi="微软雅黑" w:cs="微软雅黑" w:hint="eastAsia"/>
                <w:bCs/>
                <w:kern w:val="0"/>
                <w:szCs w:val="21"/>
                <w:shd w:val="clear" w:color="auto" w:fill="FFFFFF"/>
              </w:rPr>
              <w:t>临终护理</w:t>
            </w:r>
          </w:p>
        </w:tc>
        <w:tc>
          <w:tcPr>
            <w:tcW w:w="6306" w:type="dxa"/>
          </w:tcPr>
          <w:p w14:paraId="6156C574"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1.知道脑死亡的诊断标准、临终病人各阶段的生理评估</w:t>
            </w:r>
            <w:proofErr w:type="gramStart"/>
            <w:r>
              <w:rPr>
                <w:rFonts w:ascii="宋体" w:eastAsia="宋体" w:hAnsi="宋体" w:cs="Times New Roman" w:hint="eastAsia"/>
                <w:color w:val="000000"/>
                <w:szCs w:val="21"/>
              </w:rPr>
              <w:t>內</w:t>
            </w:r>
            <w:proofErr w:type="gramEnd"/>
            <w:r>
              <w:rPr>
                <w:rFonts w:ascii="宋体" w:eastAsia="宋体" w:hAnsi="宋体" w:cs="Times New Roman" w:hint="eastAsia"/>
                <w:color w:val="000000"/>
                <w:szCs w:val="21"/>
              </w:rPr>
              <w:t>容、濒死病人的临床表现及死亡诊断依据。</w:t>
            </w:r>
          </w:p>
          <w:p w14:paraId="58E1E328"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t>2.理解临终关怀、死亡教育、濒死、脑死亡的概念、临终关怀的理念、死亡过程各期的表现和特点、临终病人的护理原则、临终病人的各个心理反应期。</w:t>
            </w:r>
          </w:p>
          <w:p w14:paraId="6CD46493" w14:textId="77777777" w:rsidR="00BD2C6E" w:rsidRDefault="00000000">
            <w:pPr>
              <w:snapToGrid w:val="0"/>
              <w:spacing w:line="288" w:lineRule="auto"/>
              <w:jc w:val="left"/>
              <w:rPr>
                <w:rFonts w:ascii="宋体" w:eastAsia="宋体" w:hAnsi="宋体" w:cs="Times New Roman" w:hint="eastAsia"/>
                <w:color w:val="000000"/>
                <w:szCs w:val="21"/>
              </w:rPr>
            </w:pPr>
            <w:r>
              <w:rPr>
                <w:rFonts w:ascii="宋体" w:eastAsia="宋体" w:hAnsi="宋体" w:cs="Times New Roman" w:hint="eastAsia"/>
                <w:color w:val="000000"/>
                <w:szCs w:val="21"/>
              </w:rPr>
              <w:lastRenderedPageBreak/>
              <w:t>3.能为临终病人及家属提供身心支持；能按正确的操作规程对逝者进行尸体料理。</w:t>
            </w:r>
          </w:p>
        </w:tc>
      </w:tr>
    </w:tbl>
    <w:p w14:paraId="01D8109A"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590189B5" w14:textId="77777777" w:rsidR="00BD2C6E" w:rsidRDefault="00BD2C6E">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p>
    <w:p w14:paraId="2B0CD394" w14:textId="77777777" w:rsidR="00BD2C6E" w:rsidRDefault="00000000">
      <w:pPr>
        <w:pStyle w:val="a7"/>
        <w:widowControl/>
        <w:shd w:val="clear" w:color="auto" w:fill="FFFFFF"/>
        <w:spacing w:before="60" w:beforeAutospacing="0" w:afterAutospacing="0" w:line="360" w:lineRule="exact"/>
        <w:rPr>
          <w:rFonts w:ascii="微软雅黑" w:eastAsia="微软雅黑" w:hAnsi="微软雅黑" w:cs="微软雅黑" w:hint="eastAsia"/>
          <w:b/>
          <w:bCs/>
          <w:sz w:val="28"/>
          <w:szCs w:val="28"/>
          <w:shd w:val="clear" w:color="auto" w:fill="FFFFFF"/>
        </w:rPr>
      </w:pPr>
      <w:r>
        <w:rPr>
          <w:rFonts w:ascii="微软雅黑" w:eastAsia="微软雅黑" w:hAnsi="微软雅黑" w:cs="微软雅黑" w:hint="eastAsia"/>
          <w:b/>
          <w:bCs/>
          <w:sz w:val="28"/>
          <w:szCs w:val="28"/>
          <w:shd w:val="clear" w:color="auto" w:fill="FFFFFF"/>
        </w:rPr>
        <w:t>五、参考教材</w:t>
      </w:r>
    </w:p>
    <w:p w14:paraId="261D91AF" w14:textId="77777777" w:rsidR="00BD2C6E" w:rsidRDefault="00BD2C6E">
      <w:pPr>
        <w:pStyle w:val="a7"/>
        <w:widowControl/>
        <w:shd w:val="clear" w:color="auto" w:fill="FFFFFF"/>
        <w:adjustRightInd w:val="0"/>
        <w:snapToGrid w:val="0"/>
        <w:spacing w:beforeAutospacing="0" w:afterAutospacing="0" w:line="360" w:lineRule="auto"/>
        <w:rPr>
          <w:rFonts w:cstheme="minorBidi"/>
          <w:kern w:val="2"/>
          <w:sz w:val="21"/>
          <w:szCs w:val="22"/>
        </w:rPr>
      </w:pPr>
    </w:p>
    <w:p w14:paraId="576AB3E6"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1.</w:t>
      </w:r>
      <w:r>
        <w:rPr>
          <w:rFonts w:cstheme="minorBidi" w:hint="eastAsia"/>
          <w:kern w:val="2"/>
          <w:sz w:val="21"/>
          <w:szCs w:val="22"/>
        </w:rPr>
        <w:t>护理学导论（第</w:t>
      </w:r>
      <w:r>
        <w:rPr>
          <w:rFonts w:cstheme="minorBidi"/>
          <w:kern w:val="2"/>
          <w:sz w:val="21"/>
          <w:szCs w:val="22"/>
        </w:rPr>
        <w:t>5</w:t>
      </w:r>
      <w:r>
        <w:rPr>
          <w:rFonts w:cstheme="minorBidi" w:hint="eastAsia"/>
          <w:kern w:val="2"/>
          <w:sz w:val="21"/>
          <w:szCs w:val="22"/>
        </w:rPr>
        <w:t>版），李小妹、冯先琼主编，人民卫生出版社，</w:t>
      </w:r>
      <w:r>
        <w:rPr>
          <w:rFonts w:cstheme="minorBidi" w:hint="eastAsia"/>
          <w:kern w:val="2"/>
          <w:sz w:val="21"/>
          <w:szCs w:val="22"/>
        </w:rPr>
        <w:t>2022</w:t>
      </w:r>
      <w:r>
        <w:rPr>
          <w:rFonts w:cstheme="minorBidi" w:hint="eastAsia"/>
          <w:kern w:val="2"/>
          <w:sz w:val="21"/>
          <w:szCs w:val="22"/>
        </w:rPr>
        <w:t>年</w:t>
      </w:r>
      <w:r>
        <w:rPr>
          <w:rFonts w:cstheme="minorBidi" w:hint="eastAsia"/>
          <w:kern w:val="2"/>
          <w:sz w:val="21"/>
          <w:szCs w:val="22"/>
        </w:rPr>
        <w:t>01</w:t>
      </w:r>
      <w:r>
        <w:rPr>
          <w:rFonts w:cstheme="minorBidi" w:hint="eastAsia"/>
          <w:kern w:val="2"/>
          <w:sz w:val="21"/>
          <w:szCs w:val="22"/>
        </w:rPr>
        <w:t>月</w:t>
      </w:r>
    </w:p>
    <w:p w14:paraId="338469C7"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noProof/>
          <w:kern w:val="2"/>
          <w:sz w:val="21"/>
          <w:szCs w:val="22"/>
        </w:rPr>
        <w:drawing>
          <wp:inline distT="0" distB="0" distL="0" distR="0" wp14:anchorId="27D729A2" wp14:editId="046502B3">
            <wp:extent cx="1910080" cy="2748280"/>
            <wp:effectExtent l="0" t="0" r="0" b="0"/>
            <wp:docPr id="890799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99326"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10080" cy="2748280"/>
                    </a:xfrm>
                    <a:prstGeom prst="rect">
                      <a:avLst/>
                    </a:prstGeom>
                    <a:noFill/>
                    <a:ln>
                      <a:noFill/>
                    </a:ln>
                  </pic:spPr>
                </pic:pic>
              </a:graphicData>
            </a:graphic>
          </wp:inline>
        </w:drawing>
      </w:r>
      <w:r>
        <w:rPr>
          <w:rFonts w:cstheme="minorBidi" w:hint="eastAsia"/>
          <w:noProof/>
          <w:kern w:val="2"/>
          <w:sz w:val="21"/>
          <w:szCs w:val="22"/>
        </w:rPr>
        <w:drawing>
          <wp:inline distT="0" distB="0" distL="0" distR="0" wp14:anchorId="32252E26" wp14:editId="57682638">
            <wp:extent cx="1943735" cy="2652395"/>
            <wp:effectExtent l="0" t="0" r="0" b="0"/>
            <wp:docPr id="15157930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93089"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52144" cy="2664147"/>
                    </a:xfrm>
                    <a:prstGeom prst="rect">
                      <a:avLst/>
                    </a:prstGeom>
                    <a:noFill/>
                    <a:ln>
                      <a:noFill/>
                    </a:ln>
                  </pic:spPr>
                </pic:pic>
              </a:graphicData>
            </a:graphic>
          </wp:inline>
        </w:drawing>
      </w:r>
    </w:p>
    <w:p w14:paraId="79DACE5B" w14:textId="77777777" w:rsidR="00BD2C6E" w:rsidRDefault="00BD2C6E">
      <w:pPr>
        <w:pStyle w:val="a7"/>
        <w:widowControl/>
        <w:shd w:val="clear" w:color="auto" w:fill="FFFFFF"/>
        <w:adjustRightInd w:val="0"/>
        <w:snapToGrid w:val="0"/>
        <w:spacing w:beforeAutospacing="0" w:afterAutospacing="0" w:line="360" w:lineRule="auto"/>
        <w:rPr>
          <w:rFonts w:cstheme="minorBidi"/>
          <w:kern w:val="2"/>
          <w:sz w:val="21"/>
          <w:szCs w:val="22"/>
        </w:rPr>
      </w:pPr>
    </w:p>
    <w:p w14:paraId="5A2B7BCF"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2.</w:t>
      </w:r>
      <w:r>
        <w:rPr>
          <w:rFonts w:cstheme="minorBidi" w:hint="eastAsia"/>
          <w:kern w:val="2"/>
          <w:sz w:val="21"/>
          <w:szCs w:val="22"/>
        </w:rPr>
        <w:t>基础护理学（第</w:t>
      </w:r>
      <w:r>
        <w:rPr>
          <w:rFonts w:cstheme="minorBidi"/>
          <w:kern w:val="2"/>
          <w:sz w:val="21"/>
          <w:szCs w:val="22"/>
        </w:rPr>
        <w:t>7</w:t>
      </w:r>
      <w:r>
        <w:rPr>
          <w:rFonts w:cstheme="minorBidi" w:hint="eastAsia"/>
          <w:kern w:val="2"/>
          <w:sz w:val="21"/>
          <w:szCs w:val="22"/>
        </w:rPr>
        <w:t>版），李小寒、尚少梅主编，人民卫生出版社，</w:t>
      </w:r>
      <w:r>
        <w:rPr>
          <w:rFonts w:cstheme="minorBidi" w:hint="eastAsia"/>
          <w:kern w:val="2"/>
          <w:sz w:val="21"/>
          <w:szCs w:val="22"/>
        </w:rPr>
        <w:t>2022</w:t>
      </w:r>
      <w:r>
        <w:rPr>
          <w:rFonts w:cstheme="minorBidi" w:hint="eastAsia"/>
          <w:kern w:val="2"/>
          <w:sz w:val="21"/>
          <w:szCs w:val="22"/>
        </w:rPr>
        <w:t>年</w:t>
      </w:r>
      <w:r>
        <w:rPr>
          <w:rFonts w:cstheme="minorBidi" w:hint="eastAsia"/>
          <w:kern w:val="2"/>
          <w:sz w:val="21"/>
          <w:szCs w:val="22"/>
        </w:rPr>
        <w:t>10</w:t>
      </w:r>
      <w:r>
        <w:rPr>
          <w:rFonts w:cstheme="minorBidi" w:hint="eastAsia"/>
          <w:kern w:val="2"/>
          <w:sz w:val="21"/>
          <w:szCs w:val="22"/>
        </w:rPr>
        <w:t>月</w:t>
      </w:r>
    </w:p>
    <w:p w14:paraId="51398CB0" w14:textId="77777777" w:rsidR="00BD2C6E" w:rsidRDefault="00000000">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noProof/>
          <w:kern w:val="2"/>
          <w:sz w:val="21"/>
          <w:szCs w:val="22"/>
        </w:rPr>
        <w:drawing>
          <wp:inline distT="0" distB="0" distL="0" distR="0" wp14:anchorId="518F17F2" wp14:editId="79968470">
            <wp:extent cx="1929130" cy="2800350"/>
            <wp:effectExtent l="0" t="0" r="0" b="0"/>
            <wp:docPr id="14300172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17245"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29130" cy="2800350"/>
                    </a:xfrm>
                    <a:prstGeom prst="rect">
                      <a:avLst/>
                    </a:prstGeom>
                    <a:noFill/>
                    <a:ln>
                      <a:noFill/>
                    </a:ln>
                  </pic:spPr>
                </pic:pic>
              </a:graphicData>
            </a:graphic>
          </wp:inline>
        </w:drawing>
      </w:r>
      <w:r>
        <w:rPr>
          <w:rFonts w:cstheme="minorBidi"/>
          <w:noProof/>
          <w:kern w:val="2"/>
          <w:sz w:val="21"/>
          <w:szCs w:val="22"/>
        </w:rPr>
        <w:drawing>
          <wp:inline distT="0" distB="0" distL="0" distR="0" wp14:anchorId="1E63C19D" wp14:editId="74076080">
            <wp:extent cx="1994535" cy="2714625"/>
            <wp:effectExtent l="0" t="0" r="5715" b="0"/>
            <wp:docPr id="11008152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15251"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06470" cy="2730605"/>
                    </a:xfrm>
                    <a:prstGeom prst="rect">
                      <a:avLst/>
                    </a:prstGeom>
                    <a:noFill/>
                    <a:ln>
                      <a:noFill/>
                    </a:ln>
                  </pic:spPr>
                </pic:pic>
              </a:graphicData>
            </a:graphic>
          </wp:inline>
        </w:drawing>
      </w:r>
    </w:p>
    <w:sectPr w:rsidR="00BD2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NhZTdhZWMxOTE3MWNjMzk4MzAyNWEyNjY2MjU1Y2IifQ=="/>
  </w:docVars>
  <w:rsids>
    <w:rsidRoot w:val="005E5878"/>
    <w:rsid w:val="0001307E"/>
    <w:rsid w:val="0001308C"/>
    <w:rsid w:val="000143FF"/>
    <w:rsid w:val="00016429"/>
    <w:rsid w:val="0001733B"/>
    <w:rsid w:val="00022C76"/>
    <w:rsid w:val="0002726F"/>
    <w:rsid w:val="00042C7C"/>
    <w:rsid w:val="000440EE"/>
    <w:rsid w:val="0005073A"/>
    <w:rsid w:val="00063484"/>
    <w:rsid w:val="00073A26"/>
    <w:rsid w:val="000D1335"/>
    <w:rsid w:val="000D6349"/>
    <w:rsid w:val="000F5DEC"/>
    <w:rsid w:val="00110D5B"/>
    <w:rsid w:val="00121134"/>
    <w:rsid w:val="0012411D"/>
    <w:rsid w:val="001507C0"/>
    <w:rsid w:val="00150BC8"/>
    <w:rsid w:val="00166F0B"/>
    <w:rsid w:val="00167B59"/>
    <w:rsid w:val="00167EE5"/>
    <w:rsid w:val="001723F7"/>
    <w:rsid w:val="00173F30"/>
    <w:rsid w:val="0019765F"/>
    <w:rsid w:val="001C5274"/>
    <w:rsid w:val="001D54ED"/>
    <w:rsid w:val="001E281B"/>
    <w:rsid w:val="001F2DA8"/>
    <w:rsid w:val="002121DD"/>
    <w:rsid w:val="002163F6"/>
    <w:rsid w:val="0022721C"/>
    <w:rsid w:val="002334CF"/>
    <w:rsid w:val="0025351A"/>
    <w:rsid w:val="002618DD"/>
    <w:rsid w:val="00261DF7"/>
    <w:rsid w:val="00264507"/>
    <w:rsid w:val="002719D4"/>
    <w:rsid w:val="002900BD"/>
    <w:rsid w:val="002C0849"/>
    <w:rsid w:val="002C5D04"/>
    <w:rsid w:val="002D2699"/>
    <w:rsid w:val="00313E63"/>
    <w:rsid w:val="003254B9"/>
    <w:rsid w:val="003276F7"/>
    <w:rsid w:val="00332FA6"/>
    <w:rsid w:val="00337751"/>
    <w:rsid w:val="003625DD"/>
    <w:rsid w:val="003752F7"/>
    <w:rsid w:val="0039241C"/>
    <w:rsid w:val="00393DC7"/>
    <w:rsid w:val="003C1D78"/>
    <w:rsid w:val="003D74A2"/>
    <w:rsid w:val="003E2C15"/>
    <w:rsid w:val="00410D19"/>
    <w:rsid w:val="00434FE2"/>
    <w:rsid w:val="00444B86"/>
    <w:rsid w:val="00451F73"/>
    <w:rsid w:val="00452A2D"/>
    <w:rsid w:val="004717C9"/>
    <w:rsid w:val="004970CA"/>
    <w:rsid w:val="004D2294"/>
    <w:rsid w:val="004D28F5"/>
    <w:rsid w:val="004F2835"/>
    <w:rsid w:val="005006F3"/>
    <w:rsid w:val="00502C39"/>
    <w:rsid w:val="00547139"/>
    <w:rsid w:val="005477E4"/>
    <w:rsid w:val="00564B16"/>
    <w:rsid w:val="00566C3C"/>
    <w:rsid w:val="00570A26"/>
    <w:rsid w:val="00581E7E"/>
    <w:rsid w:val="0059385C"/>
    <w:rsid w:val="005C23C6"/>
    <w:rsid w:val="005E0278"/>
    <w:rsid w:val="005E5878"/>
    <w:rsid w:val="00623F5C"/>
    <w:rsid w:val="00624D59"/>
    <w:rsid w:val="00625421"/>
    <w:rsid w:val="006267E3"/>
    <w:rsid w:val="006415FD"/>
    <w:rsid w:val="0066361E"/>
    <w:rsid w:val="00671DAE"/>
    <w:rsid w:val="00672B59"/>
    <w:rsid w:val="00677BE5"/>
    <w:rsid w:val="00687002"/>
    <w:rsid w:val="006A5ED5"/>
    <w:rsid w:val="006B66C3"/>
    <w:rsid w:val="006B7ADD"/>
    <w:rsid w:val="006D7849"/>
    <w:rsid w:val="00701045"/>
    <w:rsid w:val="00723A17"/>
    <w:rsid w:val="00745E95"/>
    <w:rsid w:val="0077654F"/>
    <w:rsid w:val="00776F25"/>
    <w:rsid w:val="00795899"/>
    <w:rsid w:val="007B64BE"/>
    <w:rsid w:val="007D4516"/>
    <w:rsid w:val="007E18F8"/>
    <w:rsid w:val="00807C25"/>
    <w:rsid w:val="00814EDD"/>
    <w:rsid w:val="00862F80"/>
    <w:rsid w:val="00864B72"/>
    <w:rsid w:val="00873CEF"/>
    <w:rsid w:val="00874FE8"/>
    <w:rsid w:val="00882407"/>
    <w:rsid w:val="008832A7"/>
    <w:rsid w:val="008846BF"/>
    <w:rsid w:val="00890389"/>
    <w:rsid w:val="008E4B3B"/>
    <w:rsid w:val="008F5485"/>
    <w:rsid w:val="009158FD"/>
    <w:rsid w:val="00941903"/>
    <w:rsid w:val="0094432A"/>
    <w:rsid w:val="009449C2"/>
    <w:rsid w:val="009479A4"/>
    <w:rsid w:val="00961A56"/>
    <w:rsid w:val="0096249E"/>
    <w:rsid w:val="00964C60"/>
    <w:rsid w:val="00967B52"/>
    <w:rsid w:val="009C7624"/>
    <w:rsid w:val="009E3038"/>
    <w:rsid w:val="00A04D72"/>
    <w:rsid w:val="00A04F45"/>
    <w:rsid w:val="00A0797F"/>
    <w:rsid w:val="00A319E6"/>
    <w:rsid w:val="00A3469A"/>
    <w:rsid w:val="00A45ED6"/>
    <w:rsid w:val="00A466C8"/>
    <w:rsid w:val="00A6027C"/>
    <w:rsid w:val="00A87AC9"/>
    <w:rsid w:val="00A90E55"/>
    <w:rsid w:val="00A91F9C"/>
    <w:rsid w:val="00AB6A4B"/>
    <w:rsid w:val="00B27BD3"/>
    <w:rsid w:val="00B5370E"/>
    <w:rsid w:val="00B71A55"/>
    <w:rsid w:val="00B82AF1"/>
    <w:rsid w:val="00B94822"/>
    <w:rsid w:val="00BB6549"/>
    <w:rsid w:val="00BB6A85"/>
    <w:rsid w:val="00BB7088"/>
    <w:rsid w:val="00BC1BDD"/>
    <w:rsid w:val="00BC4A81"/>
    <w:rsid w:val="00BC55D5"/>
    <w:rsid w:val="00BC6433"/>
    <w:rsid w:val="00BD2C6E"/>
    <w:rsid w:val="00BE1719"/>
    <w:rsid w:val="00BE237E"/>
    <w:rsid w:val="00BF5716"/>
    <w:rsid w:val="00C06A50"/>
    <w:rsid w:val="00C16247"/>
    <w:rsid w:val="00C24B25"/>
    <w:rsid w:val="00C345D2"/>
    <w:rsid w:val="00C4527F"/>
    <w:rsid w:val="00C554F3"/>
    <w:rsid w:val="00C571CD"/>
    <w:rsid w:val="00C72DCF"/>
    <w:rsid w:val="00CD03F0"/>
    <w:rsid w:val="00CD0462"/>
    <w:rsid w:val="00CD4AB2"/>
    <w:rsid w:val="00CE4571"/>
    <w:rsid w:val="00D05DBE"/>
    <w:rsid w:val="00D2092B"/>
    <w:rsid w:val="00D224A8"/>
    <w:rsid w:val="00D225F2"/>
    <w:rsid w:val="00D944BF"/>
    <w:rsid w:val="00DA2FA3"/>
    <w:rsid w:val="00DB344C"/>
    <w:rsid w:val="00DC2850"/>
    <w:rsid w:val="00DC51BA"/>
    <w:rsid w:val="00DE05DB"/>
    <w:rsid w:val="00DE6503"/>
    <w:rsid w:val="00DF74AE"/>
    <w:rsid w:val="00E02DFD"/>
    <w:rsid w:val="00E048AE"/>
    <w:rsid w:val="00E05884"/>
    <w:rsid w:val="00E35E3D"/>
    <w:rsid w:val="00E45529"/>
    <w:rsid w:val="00E62C57"/>
    <w:rsid w:val="00E63BAE"/>
    <w:rsid w:val="00E65499"/>
    <w:rsid w:val="00E71739"/>
    <w:rsid w:val="00E73B6C"/>
    <w:rsid w:val="00E935BF"/>
    <w:rsid w:val="00EC45AB"/>
    <w:rsid w:val="00ED297D"/>
    <w:rsid w:val="00ED3855"/>
    <w:rsid w:val="00ED51EC"/>
    <w:rsid w:val="00EE7EA2"/>
    <w:rsid w:val="00F10A5E"/>
    <w:rsid w:val="00F40D62"/>
    <w:rsid w:val="00F441B9"/>
    <w:rsid w:val="00F56B8C"/>
    <w:rsid w:val="00F7770D"/>
    <w:rsid w:val="00F86400"/>
    <w:rsid w:val="00F90E43"/>
    <w:rsid w:val="00F97763"/>
    <w:rsid w:val="00FC1EED"/>
    <w:rsid w:val="00FF2DE9"/>
    <w:rsid w:val="06440D3E"/>
    <w:rsid w:val="0673165A"/>
    <w:rsid w:val="081E6AF7"/>
    <w:rsid w:val="0AC53E4B"/>
    <w:rsid w:val="0ADE3811"/>
    <w:rsid w:val="0C8046FD"/>
    <w:rsid w:val="0D2D35F4"/>
    <w:rsid w:val="0EBD1AFA"/>
    <w:rsid w:val="0F1D274F"/>
    <w:rsid w:val="0F396F9C"/>
    <w:rsid w:val="0F8B530D"/>
    <w:rsid w:val="0FF84C8B"/>
    <w:rsid w:val="10EE6245"/>
    <w:rsid w:val="150B6938"/>
    <w:rsid w:val="152F3B71"/>
    <w:rsid w:val="16930C31"/>
    <w:rsid w:val="1704552D"/>
    <w:rsid w:val="17FF3092"/>
    <w:rsid w:val="1812668F"/>
    <w:rsid w:val="19C53DFD"/>
    <w:rsid w:val="1A854546"/>
    <w:rsid w:val="1B0937A6"/>
    <w:rsid w:val="1B91519E"/>
    <w:rsid w:val="1CFC1ED6"/>
    <w:rsid w:val="1DB454BE"/>
    <w:rsid w:val="240761F1"/>
    <w:rsid w:val="27D554EB"/>
    <w:rsid w:val="28D67436"/>
    <w:rsid w:val="28EB3986"/>
    <w:rsid w:val="2ACE691D"/>
    <w:rsid w:val="2CA42059"/>
    <w:rsid w:val="2E3B15FD"/>
    <w:rsid w:val="2E442531"/>
    <w:rsid w:val="2E653189"/>
    <w:rsid w:val="2EAF4402"/>
    <w:rsid w:val="2F4F613C"/>
    <w:rsid w:val="32570C33"/>
    <w:rsid w:val="32EA55DC"/>
    <w:rsid w:val="34E951E4"/>
    <w:rsid w:val="35BD6AB8"/>
    <w:rsid w:val="38090E2E"/>
    <w:rsid w:val="393D1E1C"/>
    <w:rsid w:val="3C385645"/>
    <w:rsid w:val="3C7655BB"/>
    <w:rsid w:val="3E356E61"/>
    <w:rsid w:val="3FED0F9C"/>
    <w:rsid w:val="406E6BFE"/>
    <w:rsid w:val="423D3AFC"/>
    <w:rsid w:val="429046A8"/>
    <w:rsid w:val="45EE7846"/>
    <w:rsid w:val="467B7F86"/>
    <w:rsid w:val="47D71308"/>
    <w:rsid w:val="4A815C72"/>
    <w:rsid w:val="4B032EF5"/>
    <w:rsid w:val="501D5F2B"/>
    <w:rsid w:val="515130D3"/>
    <w:rsid w:val="52F83502"/>
    <w:rsid w:val="54832CD1"/>
    <w:rsid w:val="54935E30"/>
    <w:rsid w:val="54B126B9"/>
    <w:rsid w:val="584009E3"/>
    <w:rsid w:val="59163AED"/>
    <w:rsid w:val="596F5BCA"/>
    <w:rsid w:val="5B4B594E"/>
    <w:rsid w:val="5D4E3166"/>
    <w:rsid w:val="5D743741"/>
    <w:rsid w:val="5F1F022E"/>
    <w:rsid w:val="61987926"/>
    <w:rsid w:val="61AD4BCD"/>
    <w:rsid w:val="63C32509"/>
    <w:rsid w:val="64627D8F"/>
    <w:rsid w:val="65667E1F"/>
    <w:rsid w:val="6DC07669"/>
    <w:rsid w:val="70160A69"/>
    <w:rsid w:val="731D6043"/>
    <w:rsid w:val="7919236E"/>
    <w:rsid w:val="7B4F1014"/>
    <w:rsid w:val="7B54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15CBD"/>
  <w15:docId w15:val="{37B13E69-92CC-4895-81AA-ACB0EEAA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qFormat/>
    <w:rPr>
      <w:rFonts w:ascii="宋体" w:eastAsia="宋体" w:hAnsi="宋体" w:cs="Times New Roman"/>
      <w:b/>
      <w:kern w:val="44"/>
      <w:sz w:val="48"/>
      <w:szCs w:val="4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2271</Words>
  <Characters>2340</Characters>
  <Application>Microsoft Office Word</Application>
  <DocSecurity>0</DocSecurity>
  <Lines>156</Lines>
  <Paragraphs>177</Paragraphs>
  <ScaleCrop>false</ScaleCrop>
  <Company>Microsoft</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587</cp:revision>
  <dcterms:created xsi:type="dcterms:W3CDTF">2021-03-22T01:42:00Z</dcterms:created>
  <dcterms:modified xsi:type="dcterms:W3CDTF">2025-10-20T05:08:00Z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A64CBDE510034200BFB4A679AB435018_12</vt:lpwstr>
  </property>
</Properties>
</file>