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9668D">
      <w:pPr>
        <w:pStyle w:val="2"/>
        <w:widowControl/>
        <w:pBdr>
          <w:bottom w:val="single" w:color="CC3300" w:sz="12" w:space="3"/>
        </w:pBdr>
        <w:shd w:val="clear" w:color="auto" w:fill="FFFFFF"/>
        <w:spacing w:line="360" w:lineRule="exact"/>
        <w:jc w:val="center"/>
        <w:rPr>
          <w:rFonts w:hint="default" w:ascii="微软雅黑" w:hAnsi="微软雅黑" w:eastAsia="微软雅黑" w:cs="微软雅黑"/>
          <w:sz w:val="28"/>
          <w:szCs w:val="21"/>
        </w:rPr>
      </w:pPr>
      <w:r>
        <w:rPr>
          <w:rFonts w:ascii="微软雅黑" w:hAnsi="微软雅黑" w:eastAsia="微软雅黑" w:cs="微软雅黑"/>
          <w:sz w:val="28"/>
          <w:szCs w:val="21"/>
          <w:shd w:val="clear" w:color="auto" w:fill="FFFFFF"/>
        </w:rPr>
        <w:t>2</w:t>
      </w:r>
      <w:r>
        <w:rPr>
          <w:rFonts w:hint="default" w:ascii="微软雅黑" w:hAnsi="微软雅黑" w:eastAsia="微软雅黑" w:cs="微软雅黑"/>
          <w:sz w:val="28"/>
          <w:szCs w:val="21"/>
          <w:shd w:val="clear" w:color="auto" w:fill="FFFFFF"/>
        </w:rPr>
        <w:t>02</w:t>
      </w:r>
      <w:r>
        <w:rPr>
          <w:rFonts w:hint="eastAsia" w:ascii="微软雅黑" w:hAnsi="微软雅黑" w:eastAsia="微软雅黑" w:cs="微软雅黑"/>
          <w:sz w:val="28"/>
          <w:szCs w:val="21"/>
          <w:shd w:val="clear" w:color="auto" w:fill="FFFFFF"/>
          <w:lang w:val="en-US" w:eastAsia="zh-CN"/>
        </w:rPr>
        <w:t>5</w:t>
      </w:r>
      <w:bookmarkStart w:id="0" w:name="_GoBack"/>
      <w:bookmarkEnd w:id="0"/>
      <w:r>
        <w:rPr>
          <w:rFonts w:ascii="微软雅黑" w:hAnsi="微软雅黑" w:eastAsia="微软雅黑" w:cs="微软雅黑"/>
          <w:sz w:val="28"/>
          <w:szCs w:val="21"/>
          <w:shd w:val="clear" w:color="auto" w:fill="FFFFFF"/>
        </w:rPr>
        <w:t>年健康管理学院专升本【护理综合】考试大纲</w:t>
      </w:r>
    </w:p>
    <w:p w14:paraId="53C028C1">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r>
        <w:rPr>
          <w:rFonts w:hint="eastAsia" w:ascii="微软雅黑" w:hAnsi="微软雅黑" w:eastAsia="微软雅黑" w:cs="微软雅黑"/>
          <w:b/>
          <w:bCs/>
          <w:sz w:val="28"/>
          <w:szCs w:val="28"/>
          <w:shd w:val="clear" w:color="auto" w:fill="FFFFFF"/>
        </w:rPr>
        <w:t>一、考试目标</w:t>
      </w:r>
    </w:p>
    <w:p w14:paraId="0DE865EF">
      <w:pPr>
        <w:spacing w:line="360" w:lineRule="auto"/>
      </w:pPr>
    </w:p>
    <w:p w14:paraId="279B31EE">
      <w:pPr>
        <w:spacing w:line="360" w:lineRule="auto"/>
        <w:ind w:firstLine="420" w:firstLineChars="200"/>
      </w:pPr>
      <w:r>
        <w:rPr>
          <w:rFonts w:hint="eastAsia"/>
        </w:rPr>
        <w:t>测试学生获得从事护理工作所必需的基本理论、基本知识和基本技能，以及运用与护理工作相关的知识，有效而安全地完成护理工作的能力。</w:t>
      </w:r>
    </w:p>
    <w:p w14:paraId="07D74278">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14:paraId="681DA240">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r>
        <w:rPr>
          <w:rFonts w:hint="eastAsia" w:ascii="微软雅黑" w:hAnsi="微软雅黑" w:eastAsia="微软雅黑" w:cs="微软雅黑"/>
          <w:b/>
          <w:bCs/>
          <w:sz w:val="28"/>
          <w:szCs w:val="28"/>
          <w:shd w:val="clear" w:color="auto" w:fill="FFFFFF"/>
        </w:rPr>
        <w:t>二、考试细则</w:t>
      </w:r>
    </w:p>
    <w:p w14:paraId="53E654FB">
      <w:pPr>
        <w:pStyle w:val="5"/>
        <w:widowControl/>
        <w:shd w:val="clear" w:color="auto" w:fill="FFFFFF"/>
        <w:adjustRightInd w:val="0"/>
        <w:snapToGrid w:val="0"/>
        <w:spacing w:before="60" w:beforeAutospacing="0" w:afterAutospacing="0" w:line="360" w:lineRule="auto"/>
        <w:rPr>
          <w:rFonts w:cstheme="minorBidi"/>
          <w:kern w:val="2"/>
          <w:sz w:val="21"/>
          <w:szCs w:val="22"/>
        </w:rPr>
      </w:pPr>
    </w:p>
    <w:p w14:paraId="4656F1F5">
      <w:pPr>
        <w:pStyle w:val="5"/>
        <w:widowControl/>
        <w:shd w:val="clear" w:color="auto" w:fill="FFFFFF"/>
        <w:adjustRightInd w:val="0"/>
        <w:snapToGrid w:val="0"/>
        <w:spacing w:beforeAutospacing="0" w:afterAutospacing="0" w:line="360" w:lineRule="auto"/>
        <w:rPr>
          <w:rFonts w:cstheme="minorBidi"/>
          <w:kern w:val="2"/>
          <w:sz w:val="21"/>
          <w:szCs w:val="22"/>
        </w:rPr>
      </w:pPr>
      <w:r>
        <w:rPr>
          <w:rFonts w:hint="eastAsia" w:cstheme="minorBidi"/>
          <w:kern w:val="2"/>
          <w:sz w:val="21"/>
          <w:szCs w:val="22"/>
        </w:rPr>
        <w:t>1.报考要求：专科所学专业必须是护理或助产。</w:t>
      </w:r>
    </w:p>
    <w:p w14:paraId="108D1681">
      <w:pPr>
        <w:pStyle w:val="5"/>
        <w:widowControl/>
        <w:shd w:val="clear" w:color="auto" w:fill="FFFFFF"/>
        <w:adjustRightInd w:val="0"/>
        <w:snapToGrid w:val="0"/>
        <w:spacing w:beforeAutospacing="0" w:afterAutospacing="0" w:line="360" w:lineRule="auto"/>
        <w:rPr>
          <w:rFonts w:cstheme="minorBidi"/>
          <w:kern w:val="2"/>
          <w:sz w:val="21"/>
          <w:szCs w:val="22"/>
        </w:rPr>
      </w:pPr>
      <w:r>
        <w:rPr>
          <w:rFonts w:hint="eastAsia" w:cstheme="minorBidi"/>
          <w:kern w:val="2"/>
          <w:sz w:val="21"/>
          <w:szCs w:val="22"/>
        </w:rPr>
        <w:t>2.考试内容：包括护理学导论和基础护理学两部分。</w:t>
      </w:r>
    </w:p>
    <w:p w14:paraId="0FA505D1">
      <w:pPr>
        <w:pStyle w:val="5"/>
        <w:widowControl/>
        <w:shd w:val="clear" w:color="auto" w:fill="FFFFFF"/>
        <w:adjustRightInd w:val="0"/>
        <w:snapToGrid w:val="0"/>
        <w:spacing w:beforeAutospacing="0" w:afterAutospacing="0" w:line="360" w:lineRule="auto"/>
        <w:rPr>
          <w:rFonts w:cstheme="minorBidi"/>
          <w:kern w:val="2"/>
          <w:sz w:val="21"/>
          <w:szCs w:val="22"/>
        </w:rPr>
      </w:pPr>
      <w:r>
        <w:rPr>
          <w:rFonts w:hint="eastAsia" w:cstheme="minorBidi"/>
          <w:kern w:val="2"/>
          <w:sz w:val="21"/>
          <w:szCs w:val="22"/>
        </w:rPr>
        <w:t>3.考试形式及时间：考试形式为闭卷笔试，试卷满分为100分，考试时间为120分钟。</w:t>
      </w:r>
    </w:p>
    <w:p w14:paraId="48DCEA2F">
      <w:pPr>
        <w:pStyle w:val="5"/>
        <w:widowControl/>
        <w:shd w:val="clear" w:color="auto" w:fill="FFFFFF"/>
        <w:adjustRightInd w:val="0"/>
        <w:snapToGrid w:val="0"/>
        <w:spacing w:beforeAutospacing="0" w:afterAutospacing="0" w:line="360" w:lineRule="auto"/>
        <w:rPr>
          <w:rFonts w:cstheme="minorBidi"/>
          <w:kern w:val="2"/>
          <w:sz w:val="21"/>
          <w:szCs w:val="22"/>
        </w:rPr>
      </w:pPr>
      <w:r>
        <w:rPr>
          <w:rFonts w:hint="eastAsia" w:cstheme="minorBidi"/>
          <w:kern w:val="2"/>
          <w:sz w:val="21"/>
          <w:szCs w:val="22"/>
        </w:rPr>
        <w:t>4.题型及分值：名词解释（5题，20分）、选择题（40题，40分）、简答题（4题，20分）、案例分析题（2题，20分）。</w:t>
      </w:r>
    </w:p>
    <w:p w14:paraId="5E10DCF2">
      <w:pPr>
        <w:pStyle w:val="5"/>
        <w:widowControl/>
        <w:shd w:val="clear" w:color="auto" w:fill="FFFFFF"/>
        <w:adjustRightInd w:val="0"/>
        <w:snapToGrid w:val="0"/>
        <w:spacing w:beforeAutospacing="0" w:afterAutospacing="0" w:line="360" w:lineRule="auto"/>
        <w:rPr>
          <w:rFonts w:cstheme="minorBidi"/>
          <w:kern w:val="2"/>
          <w:sz w:val="21"/>
          <w:szCs w:val="22"/>
        </w:rPr>
      </w:pPr>
    </w:p>
    <w:p w14:paraId="47F921E1">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r>
        <w:rPr>
          <w:rFonts w:hint="eastAsia" w:ascii="微软雅黑" w:hAnsi="微软雅黑" w:eastAsia="微软雅黑" w:cs="微软雅黑"/>
          <w:b/>
          <w:bCs/>
          <w:sz w:val="28"/>
          <w:szCs w:val="28"/>
          <w:shd w:val="clear" w:color="auto" w:fill="FFFFFF"/>
        </w:rPr>
        <w:t>三、试卷题型及分值分布要求</w:t>
      </w:r>
    </w:p>
    <w:p w14:paraId="3B959925">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tbl>
      <w:tblPr>
        <w:tblStyle w:val="6"/>
        <w:tblW w:w="50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205"/>
        <w:gridCol w:w="2865"/>
      </w:tblGrid>
      <w:tr w14:paraId="1C80D1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205"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520E333">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题型</w:t>
            </w:r>
          </w:p>
        </w:tc>
        <w:tc>
          <w:tcPr>
            <w:tcW w:w="286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09B915AA">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分值</w:t>
            </w:r>
          </w:p>
        </w:tc>
      </w:tr>
      <w:tr w14:paraId="5530AA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20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4E7A04C">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名词解释</w:t>
            </w:r>
          </w:p>
        </w:tc>
        <w:tc>
          <w:tcPr>
            <w:tcW w:w="286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4FD519D">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20</w:t>
            </w:r>
          </w:p>
        </w:tc>
      </w:tr>
      <w:tr w14:paraId="4C61F2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20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7187871">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选择题</w:t>
            </w:r>
          </w:p>
        </w:tc>
        <w:tc>
          <w:tcPr>
            <w:tcW w:w="286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0D166D0">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40</w:t>
            </w:r>
          </w:p>
        </w:tc>
      </w:tr>
      <w:tr w14:paraId="13629A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20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498A140">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简答题</w:t>
            </w:r>
          </w:p>
        </w:tc>
        <w:tc>
          <w:tcPr>
            <w:tcW w:w="286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E6F0012">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20</w:t>
            </w:r>
          </w:p>
        </w:tc>
      </w:tr>
      <w:tr w14:paraId="77D9D9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20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8E0BDB1">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案例分析题</w:t>
            </w:r>
          </w:p>
        </w:tc>
        <w:tc>
          <w:tcPr>
            <w:tcW w:w="286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0DA0AB6">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20</w:t>
            </w:r>
          </w:p>
        </w:tc>
      </w:tr>
      <w:tr w14:paraId="0BFE35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20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B67FDEA">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合计</w:t>
            </w:r>
          </w:p>
        </w:tc>
        <w:tc>
          <w:tcPr>
            <w:tcW w:w="286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F84FD81">
            <w:pPr>
              <w:pStyle w:val="5"/>
              <w:widowControl/>
              <w:spacing w:after="90" w:afterAutospacing="0" w:line="3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100</w:t>
            </w:r>
          </w:p>
        </w:tc>
      </w:tr>
    </w:tbl>
    <w:p w14:paraId="325DF255">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14:paraId="59268177">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r>
        <w:rPr>
          <w:rFonts w:hint="eastAsia" w:ascii="微软雅黑" w:hAnsi="微软雅黑" w:eastAsia="微软雅黑" w:cs="微软雅黑"/>
          <w:b/>
          <w:bCs/>
          <w:sz w:val="28"/>
          <w:szCs w:val="28"/>
          <w:shd w:val="clear" w:color="auto" w:fill="FFFFFF"/>
        </w:rPr>
        <w:t>四、考试内容和要求</w:t>
      </w:r>
    </w:p>
    <w:p w14:paraId="3541A339">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14:paraId="321F9840">
      <w:pPr>
        <w:pStyle w:val="5"/>
        <w:widowControl/>
        <w:shd w:val="clear" w:color="auto" w:fill="FFFFFF"/>
        <w:spacing w:before="60" w:beforeAutospacing="0" w:afterAutospacing="0" w:line="360" w:lineRule="exact"/>
        <w:rPr>
          <w:rFonts w:cstheme="minorBidi"/>
          <w:b/>
          <w:kern w:val="2"/>
          <w:sz w:val="21"/>
          <w:szCs w:val="22"/>
        </w:rPr>
      </w:pPr>
      <w:r>
        <w:rPr>
          <w:rFonts w:hint="eastAsia" w:cstheme="minorBidi"/>
          <w:b/>
          <w:kern w:val="2"/>
          <w:sz w:val="21"/>
          <w:szCs w:val="22"/>
        </w:rPr>
        <w:t>（一）护理学导论</w:t>
      </w:r>
    </w:p>
    <w:p w14:paraId="0120A13A">
      <w:pPr>
        <w:pStyle w:val="5"/>
        <w:widowControl/>
        <w:shd w:val="clear" w:color="auto" w:fill="FFFFFF"/>
        <w:spacing w:before="60" w:beforeAutospacing="0" w:afterAutospacing="0" w:line="360" w:lineRule="exact"/>
        <w:ind w:left="720"/>
        <w:rPr>
          <w:rFonts w:cstheme="minorBidi"/>
          <w:b/>
          <w:kern w:val="2"/>
          <w:sz w:val="21"/>
          <w:szCs w:val="22"/>
        </w:rPr>
      </w:pPr>
    </w:p>
    <w:tbl>
      <w:tblPr>
        <w:tblStyle w:val="7"/>
        <w:tblW w:w="9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843"/>
        <w:gridCol w:w="6306"/>
      </w:tblGrid>
      <w:tr w14:paraId="5026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tcPr>
          <w:p w14:paraId="5BD5D69B">
            <w:pPr>
              <w:pStyle w:val="5"/>
              <w:widowControl/>
              <w:spacing w:before="60" w:beforeAutospacing="0" w:afterAutospacing="0" w:line="360" w:lineRule="exact"/>
              <w:jc w:val="center"/>
              <w:rPr>
                <w:rFonts w:ascii="微软雅黑" w:hAnsi="微软雅黑" w:eastAsia="微软雅黑" w:cs="微软雅黑"/>
                <w:b/>
                <w:bCs/>
                <w:sz w:val="21"/>
                <w:szCs w:val="21"/>
                <w:shd w:val="clear" w:color="auto" w:fill="FFFFFF"/>
              </w:rPr>
            </w:pPr>
            <w:r>
              <w:rPr>
                <w:rFonts w:hint="eastAsia" w:ascii="微软雅黑" w:hAnsi="微软雅黑" w:eastAsia="微软雅黑" w:cs="微软雅黑"/>
                <w:b/>
                <w:bCs/>
                <w:sz w:val="21"/>
                <w:szCs w:val="21"/>
                <w:shd w:val="clear" w:color="auto" w:fill="FFFFFF"/>
              </w:rPr>
              <w:t>序号</w:t>
            </w:r>
          </w:p>
        </w:tc>
        <w:tc>
          <w:tcPr>
            <w:tcW w:w="1843" w:type="dxa"/>
          </w:tcPr>
          <w:p w14:paraId="3596DC6A">
            <w:pPr>
              <w:pStyle w:val="5"/>
              <w:widowControl/>
              <w:spacing w:before="60" w:beforeAutospacing="0" w:afterAutospacing="0" w:line="360" w:lineRule="exact"/>
              <w:jc w:val="center"/>
              <w:rPr>
                <w:rFonts w:ascii="微软雅黑" w:hAnsi="微软雅黑" w:eastAsia="微软雅黑" w:cs="微软雅黑"/>
                <w:b/>
                <w:bCs/>
                <w:sz w:val="21"/>
                <w:szCs w:val="21"/>
                <w:shd w:val="clear" w:color="auto" w:fill="FFFFFF"/>
              </w:rPr>
            </w:pPr>
            <w:r>
              <w:rPr>
                <w:rFonts w:hint="eastAsia" w:ascii="微软雅黑" w:hAnsi="微软雅黑" w:eastAsia="微软雅黑" w:cs="微软雅黑"/>
                <w:b/>
                <w:bCs/>
                <w:sz w:val="21"/>
                <w:szCs w:val="21"/>
                <w:shd w:val="clear" w:color="auto" w:fill="FFFFFF"/>
              </w:rPr>
              <w:t>内容</w:t>
            </w:r>
          </w:p>
        </w:tc>
        <w:tc>
          <w:tcPr>
            <w:tcW w:w="6306" w:type="dxa"/>
          </w:tcPr>
          <w:p w14:paraId="7792A738">
            <w:pPr>
              <w:pStyle w:val="5"/>
              <w:widowControl/>
              <w:spacing w:before="60" w:beforeAutospacing="0" w:afterAutospacing="0" w:line="360" w:lineRule="exact"/>
              <w:jc w:val="center"/>
              <w:rPr>
                <w:rFonts w:ascii="微软雅黑" w:hAnsi="微软雅黑" w:eastAsia="微软雅黑" w:cs="微软雅黑"/>
                <w:b/>
                <w:bCs/>
                <w:sz w:val="21"/>
                <w:szCs w:val="21"/>
                <w:shd w:val="clear" w:color="auto" w:fill="FFFFFF"/>
              </w:rPr>
            </w:pPr>
            <w:r>
              <w:rPr>
                <w:rFonts w:hint="eastAsia" w:ascii="微软雅黑" w:hAnsi="微软雅黑" w:eastAsia="微软雅黑" w:cs="微软雅黑"/>
                <w:b/>
                <w:bCs/>
                <w:sz w:val="21"/>
                <w:szCs w:val="21"/>
                <w:shd w:val="clear" w:color="auto" w:fill="FFFFFF"/>
              </w:rPr>
              <w:t>要求</w:t>
            </w:r>
          </w:p>
        </w:tc>
      </w:tr>
      <w:tr w14:paraId="3497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5F8B3B77">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1</w:t>
            </w:r>
          </w:p>
        </w:tc>
        <w:tc>
          <w:tcPr>
            <w:tcW w:w="1843" w:type="dxa"/>
            <w:vAlign w:val="center"/>
          </w:tcPr>
          <w:p w14:paraId="7B753A2A">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护理学的发展及基本概念</w:t>
            </w:r>
          </w:p>
        </w:tc>
        <w:tc>
          <w:tcPr>
            <w:tcW w:w="6306" w:type="dxa"/>
            <w:vAlign w:val="center"/>
          </w:tcPr>
          <w:p w14:paraId="5B4559B6">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1.知道护理学的发展、演变过程及每个阶段的发展特点、南丁格尔对护理学发展的贡献、护理专业的工作范畴。</w:t>
            </w:r>
          </w:p>
          <w:p w14:paraId="0E8F9015">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2.理解护理概念的三个演变过程及每个过程的特征</w:t>
            </w:r>
            <w:r>
              <w:rPr>
                <w:rFonts w:hint="eastAsia" w:ascii="宋体" w:hAnsi="宋体" w:eastAsia="宋体"/>
                <w:color w:val="000000"/>
                <w:szCs w:val="21"/>
              </w:rPr>
              <w:t>、近</w:t>
            </w:r>
            <w:r>
              <w:rPr>
                <w:rFonts w:hint="eastAsia" w:ascii="宋体" w:hAnsi="宋体" w:eastAsia="宋体" w:cs="Times New Roman"/>
                <w:color w:val="000000"/>
                <w:szCs w:val="21"/>
              </w:rPr>
              <w:t>现代护理发展的各个重要阶段</w:t>
            </w:r>
            <w:r>
              <w:rPr>
                <w:rFonts w:hint="eastAsia" w:ascii="宋体" w:hAnsi="宋体" w:eastAsia="宋体"/>
                <w:color w:val="000000"/>
                <w:szCs w:val="21"/>
              </w:rPr>
              <w:t>的主要特点、护理专业的特点、</w:t>
            </w:r>
            <w:r>
              <w:rPr>
                <w:rFonts w:hint="eastAsia" w:ascii="宋体" w:hAnsi="宋体" w:eastAsia="宋体" w:cs="Times New Roman"/>
                <w:color w:val="000000"/>
                <w:szCs w:val="21"/>
              </w:rPr>
              <w:t>护士的角色要求。</w:t>
            </w:r>
          </w:p>
        </w:tc>
      </w:tr>
      <w:tr w14:paraId="317D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292CFEA9">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2</w:t>
            </w:r>
          </w:p>
        </w:tc>
        <w:tc>
          <w:tcPr>
            <w:tcW w:w="1843" w:type="dxa"/>
            <w:vAlign w:val="center"/>
          </w:tcPr>
          <w:p w14:paraId="3E3255CA">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健康与疾病</w:t>
            </w:r>
          </w:p>
        </w:tc>
        <w:tc>
          <w:tcPr>
            <w:tcW w:w="6306" w:type="dxa"/>
            <w:vAlign w:val="center"/>
          </w:tcPr>
          <w:p w14:paraId="2C11E94C">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1.知道健康与疾病的相关概念、影响健康的因素和健康的测量指标、病人常见的行为和心理反应。</w:t>
            </w:r>
          </w:p>
          <w:p w14:paraId="462FC3F4">
            <w:pPr>
              <w:rPr>
                <w:rFonts w:ascii="宋体" w:hAnsi="宋体" w:eastAsia="宋体" w:cs="Times New Roman"/>
                <w:color w:val="000000"/>
                <w:szCs w:val="21"/>
              </w:rPr>
            </w:pPr>
            <w:r>
              <w:rPr>
                <w:rFonts w:hint="eastAsia" w:ascii="宋体" w:hAnsi="宋体" w:eastAsia="宋体" w:cs="Times New Roman"/>
                <w:color w:val="000000"/>
                <w:szCs w:val="21"/>
              </w:rPr>
              <w:t>2.理解健康与疾病的关系、常见的病人角色适应不良、疾病的影响、全球及我国卫生保健的战略目标及健康中国战略。</w:t>
            </w:r>
          </w:p>
        </w:tc>
      </w:tr>
      <w:tr w14:paraId="3156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2C76E6AB">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3</w:t>
            </w:r>
          </w:p>
        </w:tc>
        <w:tc>
          <w:tcPr>
            <w:tcW w:w="1843" w:type="dxa"/>
            <w:vAlign w:val="center"/>
          </w:tcPr>
          <w:p w14:paraId="687BFD51">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需要与关怀</w:t>
            </w:r>
          </w:p>
        </w:tc>
        <w:tc>
          <w:tcPr>
            <w:tcW w:w="6306" w:type="dxa"/>
            <w:vAlign w:val="center"/>
          </w:tcPr>
          <w:p w14:paraId="77B20C66">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1.知道马斯洛的人类基本需要层次论、关怀的内涵、Watson人性关怀理论和Swanson关怀理论的基本观点。</w:t>
            </w:r>
          </w:p>
          <w:p w14:paraId="0492AE8D">
            <w:pPr>
              <w:rPr>
                <w:rFonts w:ascii="宋体" w:hAnsi="宋体" w:eastAsia="宋体" w:cs="Times New Roman"/>
                <w:color w:val="000000"/>
                <w:szCs w:val="21"/>
              </w:rPr>
            </w:pPr>
            <w:r>
              <w:rPr>
                <w:rFonts w:hint="eastAsia" w:ascii="宋体" w:hAnsi="宋体" w:eastAsia="宋体" w:cs="Times New Roman"/>
                <w:color w:val="000000"/>
                <w:szCs w:val="21"/>
              </w:rPr>
              <w:t>2.理解马斯洛的人类基本需要层次论在护理实践中应用的意义、影响病人需要满足的因素、护理关怀的意义和作用。</w:t>
            </w:r>
          </w:p>
          <w:p w14:paraId="0A3F16B1">
            <w:pPr>
              <w:rPr>
                <w:rFonts w:ascii="宋体" w:hAnsi="宋体" w:eastAsia="宋体" w:cs="Times New Roman"/>
                <w:color w:val="000000"/>
                <w:szCs w:val="21"/>
              </w:rPr>
            </w:pPr>
            <w:r>
              <w:rPr>
                <w:rFonts w:hint="eastAsia" w:ascii="宋体" w:hAnsi="宋体" w:eastAsia="宋体" w:cs="Times New Roman"/>
                <w:color w:val="000000"/>
                <w:szCs w:val="21"/>
              </w:rPr>
              <w:t>3.依据人类基本需要层次论分析病人的需要并采用相应的策略满足其基本需要。</w:t>
            </w:r>
          </w:p>
        </w:tc>
      </w:tr>
      <w:tr w14:paraId="642A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52C948EC">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4</w:t>
            </w:r>
          </w:p>
        </w:tc>
        <w:tc>
          <w:tcPr>
            <w:tcW w:w="1843" w:type="dxa"/>
            <w:vAlign w:val="center"/>
          </w:tcPr>
          <w:p w14:paraId="0EFF698B">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护患关系与人际沟通</w:t>
            </w:r>
          </w:p>
        </w:tc>
        <w:tc>
          <w:tcPr>
            <w:tcW w:w="6306" w:type="dxa"/>
            <w:vAlign w:val="center"/>
          </w:tcPr>
          <w:p w14:paraId="7780AADF">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1.知道护患关系的基本模式和分期、人际沟通的基本要素、人际关系和非语言沟通的类型。</w:t>
            </w:r>
          </w:p>
          <w:p w14:paraId="1E2821C1">
            <w:pPr>
              <w:rPr>
                <w:rFonts w:ascii="宋体" w:hAnsi="宋体" w:eastAsia="宋体" w:cs="Times New Roman"/>
                <w:color w:val="000000"/>
                <w:szCs w:val="21"/>
              </w:rPr>
            </w:pPr>
            <w:r>
              <w:rPr>
                <w:rFonts w:hint="eastAsia" w:ascii="宋体" w:hAnsi="宋体" w:eastAsia="宋体" w:cs="Times New Roman"/>
                <w:color w:val="000000"/>
                <w:szCs w:val="21"/>
              </w:rPr>
              <w:t>2.理解人际关系、护患关系、人际沟通、护患沟通、语言沟通、非语言沟通、倾听、同理、自我暴露的概念。</w:t>
            </w:r>
          </w:p>
          <w:p w14:paraId="04A39C98">
            <w:pPr>
              <w:rPr>
                <w:rFonts w:ascii="宋体" w:hAnsi="宋体" w:eastAsia="宋体" w:cs="Times New Roman"/>
                <w:color w:val="000000"/>
                <w:szCs w:val="21"/>
              </w:rPr>
            </w:pPr>
            <w:r>
              <w:rPr>
                <w:rFonts w:hint="eastAsia" w:ascii="宋体" w:hAnsi="宋体" w:eastAsia="宋体" w:cs="Times New Roman"/>
                <w:color w:val="000000"/>
                <w:szCs w:val="21"/>
              </w:rPr>
              <w:t>3.说明人际关系、护患关系、护患沟通的特征；分析人际沟通的层次；明确阻碍护患沟通的因素。</w:t>
            </w:r>
          </w:p>
          <w:p w14:paraId="13BB1E88">
            <w:pPr>
              <w:rPr>
                <w:rFonts w:ascii="宋体" w:hAnsi="宋体" w:eastAsia="宋体" w:cs="Times New Roman"/>
                <w:color w:val="000000"/>
                <w:szCs w:val="21"/>
              </w:rPr>
            </w:pPr>
            <w:r>
              <w:rPr>
                <w:rFonts w:hint="eastAsia" w:ascii="宋体" w:hAnsi="宋体" w:eastAsia="宋体" w:cs="Times New Roman"/>
                <w:color w:val="000000"/>
                <w:szCs w:val="21"/>
              </w:rPr>
              <w:t>4.运用人际关系基本理论模拟并处理护理工作中的各种人际关系；</w:t>
            </w:r>
          </w:p>
          <w:p w14:paraId="0C8EFA70">
            <w:r>
              <w:rPr>
                <w:rFonts w:hint="eastAsia" w:ascii="宋体" w:hAnsi="宋体" w:eastAsia="宋体" w:cs="Times New Roman"/>
                <w:color w:val="000000"/>
                <w:szCs w:val="21"/>
              </w:rPr>
              <w:t>运用人际沟通的技巧进行护患间有效的沟通。</w:t>
            </w:r>
          </w:p>
        </w:tc>
      </w:tr>
      <w:tr w14:paraId="61B8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4447E6FA">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5</w:t>
            </w:r>
          </w:p>
        </w:tc>
        <w:tc>
          <w:tcPr>
            <w:tcW w:w="1843" w:type="dxa"/>
            <w:vAlign w:val="center"/>
          </w:tcPr>
          <w:p w14:paraId="1574D0CD">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护理程序</w:t>
            </w:r>
          </w:p>
        </w:tc>
        <w:tc>
          <w:tcPr>
            <w:tcW w:w="6306" w:type="dxa"/>
            <w:vAlign w:val="center"/>
          </w:tcPr>
          <w:p w14:paraId="3D7B02FE">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1.知道护理程序及护理诊断的概念、资料收集的内容和方法、护理诊断的排序原则、护理诊断的陈述结构与方式、制订预期目标和护理措施的要求、临床护理记录常用的记录方法。</w:t>
            </w:r>
          </w:p>
          <w:p w14:paraId="332E9ECB">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2.理解护理诊断的四种类型及组成部分；鉴别护理诊断与合作性问题、医疗诊断；鉴别主观资料和客观资料。</w:t>
            </w:r>
          </w:p>
          <w:p w14:paraId="1E8EA764">
            <w:pPr>
              <w:snapToGrid w:val="0"/>
              <w:spacing w:line="288" w:lineRule="auto"/>
              <w:jc w:val="left"/>
            </w:pPr>
            <w:r>
              <w:rPr>
                <w:rFonts w:hint="eastAsia" w:ascii="宋体" w:hAnsi="宋体" w:eastAsia="宋体" w:cs="Times New Roman"/>
                <w:color w:val="000000"/>
                <w:szCs w:val="21"/>
              </w:rPr>
              <w:t>3.运用相关标准判断护理诊断、护理目标、护理措施的正误。</w:t>
            </w:r>
          </w:p>
        </w:tc>
      </w:tr>
      <w:tr w14:paraId="538F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7C09D9C4">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6</w:t>
            </w:r>
          </w:p>
        </w:tc>
        <w:tc>
          <w:tcPr>
            <w:tcW w:w="1843" w:type="dxa"/>
            <w:vAlign w:val="center"/>
          </w:tcPr>
          <w:p w14:paraId="20F43A2D">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护理理论及模式</w:t>
            </w:r>
          </w:p>
        </w:tc>
        <w:tc>
          <w:tcPr>
            <w:tcW w:w="6306" w:type="dxa"/>
            <w:vAlign w:val="center"/>
          </w:tcPr>
          <w:p w14:paraId="5468A17E">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1.知道护理理念、护理理论的相关概念及发展过程。</w:t>
            </w:r>
          </w:p>
          <w:p w14:paraId="4D08541C">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2.理解奥瑞姆自理理论、罗伊适应模式的主要内容；纽曼系统模式的主要观点。</w:t>
            </w:r>
          </w:p>
        </w:tc>
      </w:tr>
      <w:tr w14:paraId="37F2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2424F19A">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7</w:t>
            </w:r>
          </w:p>
        </w:tc>
        <w:tc>
          <w:tcPr>
            <w:tcW w:w="1843" w:type="dxa"/>
            <w:vAlign w:val="center"/>
          </w:tcPr>
          <w:p w14:paraId="38556A00">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护理科学思维方法与决策</w:t>
            </w:r>
          </w:p>
        </w:tc>
        <w:tc>
          <w:tcPr>
            <w:tcW w:w="6306" w:type="dxa"/>
            <w:vAlign w:val="center"/>
          </w:tcPr>
          <w:p w14:paraId="6B76152F">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w:t>
            </w:r>
            <w:r>
              <w:rPr>
                <w:rFonts w:ascii="宋体" w:hAnsi="宋体" w:eastAsia="宋体" w:cs="Times New Roman"/>
                <w:color w:val="000000"/>
                <w:szCs w:val="21"/>
              </w:rPr>
              <w:t>.</w:t>
            </w:r>
            <w:r>
              <w:rPr>
                <w:rFonts w:hint="eastAsia" w:ascii="宋体" w:hAnsi="宋体" w:eastAsia="宋体" w:cs="Times New Roman"/>
                <w:color w:val="000000"/>
                <w:szCs w:val="21"/>
              </w:rPr>
              <w:t>知道评判性思维的构成要素、临床护理决策的类型、循证护理的基本要素。</w:t>
            </w:r>
          </w:p>
          <w:p w14:paraId="3BBDA85F">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w:t>
            </w:r>
            <w:r>
              <w:rPr>
                <w:rFonts w:ascii="宋体" w:hAnsi="宋体" w:eastAsia="宋体" w:cs="Times New Roman"/>
                <w:color w:val="000000"/>
                <w:szCs w:val="21"/>
              </w:rPr>
              <w:t>.</w:t>
            </w:r>
            <w:r>
              <w:rPr>
                <w:rFonts w:hint="eastAsia" w:ascii="宋体" w:hAnsi="宋体" w:eastAsia="宋体" w:cs="Times New Roman"/>
                <w:color w:val="000000"/>
                <w:szCs w:val="21"/>
              </w:rPr>
              <w:t>理解临床护理决策的影响因素、循证护理的基本步骤、循证护理与传统护理的关系。</w:t>
            </w:r>
          </w:p>
          <w:p w14:paraId="3FD05FA9">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3</w:t>
            </w:r>
            <w:r>
              <w:rPr>
                <w:rFonts w:ascii="宋体" w:hAnsi="宋体" w:eastAsia="宋体" w:cs="Times New Roman"/>
                <w:color w:val="000000"/>
                <w:szCs w:val="21"/>
              </w:rPr>
              <w:t>.</w:t>
            </w:r>
            <w:r>
              <w:rPr>
                <w:rFonts w:hint="eastAsia" w:ascii="宋体" w:hAnsi="宋体" w:eastAsia="宋体" w:cs="Times New Roman"/>
                <w:color w:val="000000"/>
                <w:szCs w:val="21"/>
              </w:rPr>
              <w:t>能运用批判性思维对临床护理问题进行分析，并做出正确、合理的护理决策。</w:t>
            </w:r>
          </w:p>
        </w:tc>
      </w:tr>
      <w:tr w14:paraId="4411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4829B704">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ascii="微软雅黑" w:hAnsi="微软雅黑" w:eastAsia="微软雅黑" w:cs="微软雅黑"/>
                <w:bCs/>
                <w:sz w:val="21"/>
                <w:szCs w:val="21"/>
                <w:shd w:val="clear" w:color="auto" w:fill="FFFFFF"/>
              </w:rPr>
              <w:t>8</w:t>
            </w:r>
          </w:p>
        </w:tc>
        <w:tc>
          <w:tcPr>
            <w:tcW w:w="1843" w:type="dxa"/>
            <w:vAlign w:val="center"/>
          </w:tcPr>
          <w:p w14:paraId="035EF916">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护理伦理</w:t>
            </w:r>
          </w:p>
        </w:tc>
        <w:tc>
          <w:tcPr>
            <w:tcW w:w="6306" w:type="dxa"/>
            <w:vAlign w:val="center"/>
          </w:tcPr>
          <w:p w14:paraId="6D86724B">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1.知道护理伦理基本原则、护理道德的规范与范畴、病人的权利与义务。</w:t>
            </w:r>
          </w:p>
          <w:p w14:paraId="59DB9504">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2.理解职业道德、护理道德修养及知情同意的概念、生命伦理学中的有关理论、常见的生命伦理学伦理难题及处理方法。</w:t>
            </w:r>
          </w:p>
          <w:p w14:paraId="57F09856">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3.分析判断护理活动中的伦理问题。</w:t>
            </w:r>
          </w:p>
        </w:tc>
      </w:tr>
      <w:tr w14:paraId="3A84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5D03B0DB">
            <w:pPr>
              <w:pStyle w:val="5"/>
              <w:widowControl/>
              <w:spacing w:before="60" w:beforeAutospacing="0" w:afterAutospacing="0" w:line="360" w:lineRule="exact"/>
              <w:jc w:val="center"/>
              <w:rPr>
                <w:rFonts w:ascii="宋体" w:hAnsi="宋体" w:eastAsia="宋体"/>
                <w:color w:val="000000"/>
                <w:kern w:val="2"/>
                <w:sz w:val="21"/>
                <w:szCs w:val="21"/>
              </w:rPr>
            </w:pPr>
            <w:r>
              <w:rPr>
                <w:rFonts w:ascii="宋体" w:hAnsi="宋体" w:eastAsia="宋体"/>
                <w:color w:val="000000"/>
                <w:kern w:val="2"/>
                <w:sz w:val="21"/>
                <w:szCs w:val="21"/>
              </w:rPr>
              <w:t>9</w:t>
            </w:r>
          </w:p>
        </w:tc>
        <w:tc>
          <w:tcPr>
            <w:tcW w:w="1843" w:type="dxa"/>
            <w:vAlign w:val="center"/>
          </w:tcPr>
          <w:p w14:paraId="71A4A403">
            <w:pPr>
              <w:pStyle w:val="5"/>
              <w:widowControl/>
              <w:spacing w:before="60" w:beforeAutospacing="0" w:afterAutospacing="0" w:line="360" w:lineRule="exact"/>
              <w:jc w:val="center"/>
              <w:rPr>
                <w:rFonts w:ascii="宋体" w:hAnsi="宋体" w:eastAsia="宋体"/>
                <w:color w:val="000000"/>
                <w:kern w:val="2"/>
                <w:sz w:val="21"/>
                <w:szCs w:val="21"/>
              </w:rPr>
            </w:pPr>
            <w:r>
              <w:rPr>
                <w:rFonts w:hint="eastAsia" w:ascii="微软雅黑" w:hAnsi="微软雅黑" w:eastAsia="微软雅黑" w:cs="微软雅黑"/>
                <w:bCs/>
                <w:sz w:val="21"/>
                <w:szCs w:val="21"/>
                <w:shd w:val="clear" w:color="auto" w:fill="FFFFFF"/>
              </w:rPr>
              <w:t>护理专业中的法律问题</w:t>
            </w:r>
          </w:p>
        </w:tc>
        <w:tc>
          <w:tcPr>
            <w:tcW w:w="6306" w:type="dxa"/>
            <w:vAlign w:val="center"/>
          </w:tcPr>
          <w:p w14:paraId="5434FADA">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1.知道医疗纠纷、医疗事故的概念、护理法的基本内容。</w:t>
            </w:r>
          </w:p>
          <w:p w14:paraId="0F886F77">
            <w:pPr>
              <w:rPr>
                <w:rFonts w:ascii="宋体" w:hAnsi="宋体" w:eastAsia="宋体" w:cs="Times New Roman"/>
                <w:color w:val="000000"/>
                <w:szCs w:val="21"/>
              </w:rPr>
            </w:pPr>
            <w:r>
              <w:rPr>
                <w:rFonts w:hint="eastAsia" w:ascii="宋体" w:hAnsi="宋体" w:eastAsia="宋体" w:cs="Times New Roman"/>
                <w:color w:val="000000"/>
                <w:szCs w:val="21"/>
              </w:rPr>
              <w:t>2.理解医疗纠纷的分类、医疗事故的构成要件和分级、举证责任倒置的基本含义、护理工作中专业和相关法律法规的类型、护士的工作权限。</w:t>
            </w:r>
          </w:p>
          <w:p w14:paraId="0028DBC9">
            <w:pPr>
              <w:rPr>
                <w:rFonts w:ascii="宋体" w:hAnsi="宋体" w:eastAsia="宋体" w:cs="Times New Roman"/>
                <w:color w:val="000000"/>
                <w:szCs w:val="21"/>
              </w:rPr>
            </w:pPr>
            <w:r>
              <w:rPr>
                <w:rFonts w:hint="eastAsia" w:ascii="宋体" w:hAnsi="宋体" w:eastAsia="宋体" w:cs="Times New Roman"/>
                <w:color w:val="000000"/>
                <w:szCs w:val="21"/>
              </w:rPr>
              <w:t>3.分析医疗事故的分级、护理工作中的法律问题。</w:t>
            </w:r>
          </w:p>
        </w:tc>
      </w:tr>
    </w:tbl>
    <w:p w14:paraId="036F18E2">
      <w:pPr>
        <w:pStyle w:val="5"/>
        <w:widowControl/>
        <w:shd w:val="clear" w:color="auto" w:fill="FFFFFF"/>
        <w:spacing w:before="60" w:beforeAutospacing="0" w:afterAutospacing="0" w:line="360" w:lineRule="exact"/>
        <w:rPr>
          <w:rFonts w:ascii="宋体" w:hAnsi="宋体" w:eastAsia="宋体"/>
          <w:color w:val="000000"/>
          <w:kern w:val="2"/>
          <w:sz w:val="21"/>
          <w:szCs w:val="21"/>
        </w:rPr>
      </w:pPr>
    </w:p>
    <w:p w14:paraId="03FE3F03">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14:paraId="4BC3F57C">
      <w:pPr>
        <w:pStyle w:val="5"/>
        <w:widowControl/>
        <w:shd w:val="clear" w:color="auto" w:fill="FFFFFF"/>
        <w:spacing w:before="60" w:beforeAutospacing="0" w:afterAutospacing="0" w:line="360" w:lineRule="exact"/>
        <w:rPr>
          <w:rFonts w:cstheme="minorBidi"/>
          <w:b/>
          <w:kern w:val="2"/>
          <w:sz w:val="21"/>
          <w:szCs w:val="22"/>
        </w:rPr>
      </w:pPr>
      <w:r>
        <w:rPr>
          <w:rFonts w:hint="eastAsia" w:cstheme="minorBidi"/>
          <w:b/>
          <w:kern w:val="2"/>
          <w:sz w:val="21"/>
          <w:szCs w:val="22"/>
        </w:rPr>
        <w:t>（二）基础护理学</w:t>
      </w:r>
    </w:p>
    <w:p w14:paraId="37AD7402">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tbl>
      <w:tblPr>
        <w:tblStyle w:val="7"/>
        <w:tblW w:w="9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843"/>
        <w:gridCol w:w="6306"/>
      </w:tblGrid>
      <w:tr w14:paraId="7F5F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tcPr>
          <w:p w14:paraId="14484207">
            <w:pPr>
              <w:pStyle w:val="5"/>
              <w:widowControl/>
              <w:spacing w:before="60" w:beforeAutospacing="0" w:afterAutospacing="0" w:line="360" w:lineRule="exact"/>
              <w:jc w:val="center"/>
              <w:rPr>
                <w:rFonts w:ascii="微软雅黑" w:hAnsi="微软雅黑" w:eastAsia="微软雅黑" w:cs="微软雅黑"/>
                <w:b/>
                <w:bCs/>
                <w:sz w:val="21"/>
                <w:szCs w:val="21"/>
                <w:shd w:val="clear" w:color="auto" w:fill="FFFFFF"/>
              </w:rPr>
            </w:pPr>
            <w:r>
              <w:rPr>
                <w:rFonts w:hint="eastAsia" w:ascii="微软雅黑" w:hAnsi="微软雅黑" w:eastAsia="微软雅黑" w:cs="微软雅黑"/>
                <w:b/>
                <w:bCs/>
                <w:sz w:val="21"/>
                <w:szCs w:val="21"/>
                <w:shd w:val="clear" w:color="auto" w:fill="FFFFFF"/>
              </w:rPr>
              <w:t>序号</w:t>
            </w:r>
          </w:p>
        </w:tc>
        <w:tc>
          <w:tcPr>
            <w:tcW w:w="1843" w:type="dxa"/>
          </w:tcPr>
          <w:p w14:paraId="3319BD18">
            <w:pPr>
              <w:pStyle w:val="5"/>
              <w:widowControl/>
              <w:spacing w:before="60" w:beforeAutospacing="0" w:afterAutospacing="0" w:line="360" w:lineRule="exact"/>
              <w:jc w:val="center"/>
              <w:rPr>
                <w:rFonts w:ascii="微软雅黑" w:hAnsi="微软雅黑" w:eastAsia="微软雅黑" w:cs="微软雅黑"/>
                <w:b/>
                <w:bCs/>
                <w:sz w:val="21"/>
                <w:szCs w:val="21"/>
                <w:shd w:val="clear" w:color="auto" w:fill="FFFFFF"/>
              </w:rPr>
            </w:pPr>
            <w:r>
              <w:rPr>
                <w:rFonts w:hint="eastAsia" w:ascii="微软雅黑" w:hAnsi="微软雅黑" w:eastAsia="微软雅黑" w:cs="微软雅黑"/>
                <w:b/>
                <w:bCs/>
                <w:sz w:val="21"/>
                <w:szCs w:val="21"/>
                <w:shd w:val="clear" w:color="auto" w:fill="FFFFFF"/>
              </w:rPr>
              <w:t>内容</w:t>
            </w:r>
          </w:p>
        </w:tc>
        <w:tc>
          <w:tcPr>
            <w:tcW w:w="6306" w:type="dxa"/>
          </w:tcPr>
          <w:p w14:paraId="7D77FE2F">
            <w:pPr>
              <w:pStyle w:val="5"/>
              <w:widowControl/>
              <w:spacing w:before="60" w:beforeAutospacing="0" w:afterAutospacing="0" w:line="360" w:lineRule="exact"/>
              <w:jc w:val="center"/>
              <w:rPr>
                <w:rFonts w:ascii="微软雅黑" w:hAnsi="微软雅黑" w:eastAsia="微软雅黑" w:cs="微软雅黑"/>
                <w:b/>
                <w:bCs/>
                <w:sz w:val="21"/>
                <w:szCs w:val="21"/>
                <w:shd w:val="clear" w:color="auto" w:fill="FFFFFF"/>
              </w:rPr>
            </w:pPr>
            <w:r>
              <w:rPr>
                <w:rFonts w:hint="eastAsia" w:ascii="微软雅黑" w:hAnsi="微软雅黑" w:eastAsia="微软雅黑" w:cs="微软雅黑"/>
                <w:b/>
                <w:bCs/>
                <w:sz w:val="21"/>
                <w:szCs w:val="21"/>
                <w:shd w:val="clear" w:color="auto" w:fill="FFFFFF"/>
              </w:rPr>
              <w:t>要求</w:t>
            </w:r>
          </w:p>
        </w:tc>
      </w:tr>
      <w:tr w14:paraId="610A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04599E2A">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1</w:t>
            </w:r>
          </w:p>
        </w:tc>
        <w:tc>
          <w:tcPr>
            <w:tcW w:w="1843" w:type="dxa"/>
            <w:vAlign w:val="center"/>
          </w:tcPr>
          <w:p w14:paraId="7D156DB9">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环境</w:t>
            </w:r>
          </w:p>
        </w:tc>
        <w:tc>
          <w:tcPr>
            <w:tcW w:w="6306" w:type="dxa"/>
            <w:vAlign w:val="center"/>
          </w:tcPr>
          <w:p w14:paraId="3A1F4273">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1.知道医院环境的分类、良好的医院环境应具备的特点、医院环境调控的有关要素。</w:t>
            </w:r>
          </w:p>
          <w:p w14:paraId="5C451383">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2.能正确运用相关知识为病人创造安全、舒适的治疗环境。</w:t>
            </w:r>
          </w:p>
        </w:tc>
      </w:tr>
      <w:tr w14:paraId="7454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67C4F83E">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2</w:t>
            </w:r>
          </w:p>
        </w:tc>
        <w:tc>
          <w:tcPr>
            <w:tcW w:w="1843" w:type="dxa"/>
            <w:vAlign w:val="center"/>
          </w:tcPr>
          <w:p w14:paraId="0A74443C">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预防与控制医院感染</w:t>
            </w:r>
          </w:p>
        </w:tc>
        <w:tc>
          <w:tcPr>
            <w:tcW w:w="6306" w:type="dxa"/>
            <w:vAlign w:val="center"/>
          </w:tcPr>
          <w:p w14:paraId="296A5FE1">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1.知道医院感染的分类、形成原因及条件。</w:t>
            </w:r>
          </w:p>
          <w:p w14:paraId="70ED0969">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2.知道常用的消毒灭菌方法及注意事项。</w:t>
            </w:r>
          </w:p>
          <w:p w14:paraId="508EF6B5">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3.知道无菌技术操作原则和隔离原则。</w:t>
            </w:r>
          </w:p>
          <w:p w14:paraId="179B5772">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4.理解医院感染、清洁、消毒、灭菌、手卫生、无菌技术、标准预防及隔离的概念。</w:t>
            </w:r>
          </w:p>
          <w:p w14:paraId="3D767426">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5.理解隔离区域的划分标准、医院不同病区的建筑布局与隔离要求、常见的隔离类型及相应的隔离措施。</w:t>
            </w:r>
          </w:p>
          <w:p w14:paraId="0452B771">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6.能正确进行手卫生、无菌技术基本操作、隔离技术基本操作。</w:t>
            </w:r>
          </w:p>
        </w:tc>
      </w:tr>
      <w:tr w14:paraId="142A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58234B0D">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3</w:t>
            </w:r>
          </w:p>
        </w:tc>
        <w:tc>
          <w:tcPr>
            <w:tcW w:w="1843" w:type="dxa"/>
            <w:vAlign w:val="center"/>
          </w:tcPr>
          <w:p w14:paraId="5D0326FC">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患者入院和出院护理</w:t>
            </w:r>
          </w:p>
        </w:tc>
        <w:tc>
          <w:tcPr>
            <w:tcW w:w="6306" w:type="dxa"/>
            <w:vAlign w:val="center"/>
          </w:tcPr>
          <w:p w14:paraId="5CFB75A6">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1.知道病人床单位所包含的固定设备、入院护理和出院护理的目的。</w:t>
            </w:r>
          </w:p>
          <w:p w14:paraId="35DD54EC">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2.知道临床上常用卧位的适用范围及临床意义。</w:t>
            </w:r>
          </w:p>
          <w:p w14:paraId="070F9FA1">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3.知道分级护理的级别、适用对象及相应的护理要点。</w:t>
            </w:r>
          </w:p>
          <w:p w14:paraId="7D6B984F">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4.理解分级护理的概念。</w:t>
            </w:r>
          </w:p>
          <w:p w14:paraId="23BF1114">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5.理解卧位的分类方法、变换卧位法的目的、操作中的注意事项、在护理工作中保证病人平衡与稳定的措施。</w:t>
            </w:r>
          </w:p>
          <w:p w14:paraId="73FEE1D6">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6.能正确运用铺床方法为新病人、暂时离床病人、麻醉手术后病人或长期卧床病人准备安全、整洁、舒适的床单位；能为病人安置舒适卧位；能按正确的方法协助病人变换卧位；能正确使用轮椅或平车运送病人；能正确运用人体力学原理。</w:t>
            </w:r>
          </w:p>
        </w:tc>
      </w:tr>
      <w:tr w14:paraId="623E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48971424">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4</w:t>
            </w:r>
          </w:p>
        </w:tc>
        <w:tc>
          <w:tcPr>
            <w:tcW w:w="1843" w:type="dxa"/>
            <w:vAlign w:val="center"/>
          </w:tcPr>
          <w:p w14:paraId="66EC8FBA">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病人安全与护士职业防护</w:t>
            </w:r>
          </w:p>
        </w:tc>
        <w:tc>
          <w:tcPr>
            <w:tcW w:w="6306" w:type="dxa"/>
            <w:vAlign w:val="center"/>
          </w:tcPr>
          <w:p w14:paraId="1C52CCEE">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1.知道保护具、辅助器使用的目的及操作中的注意事项。</w:t>
            </w:r>
          </w:p>
          <w:p w14:paraId="2F8C91B1">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2.知道职业暴露的有害因素及对人体的影响。</w:t>
            </w:r>
          </w:p>
          <w:p w14:paraId="3EBDF4DD">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3.理解安全环境、保护具、职业暴露、护理职业暴露、职业防护、护理职业防护、标准预防及护理职业风险的概念。</w:t>
            </w:r>
          </w:p>
          <w:p w14:paraId="186799A7">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4.理解医院常见的不安全因素、血源性病原体职业暴露、锐器伤、化疗药物职业暴露及汞泄漏产生的原因及预防措施。</w:t>
            </w:r>
          </w:p>
          <w:p w14:paraId="597E6D90">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5.能正确选择和科学使用各种保护具及辅助器具保证病人安全；正确处理锐器伤，并采取有效的、针对性的防护措施。</w:t>
            </w:r>
          </w:p>
        </w:tc>
      </w:tr>
      <w:tr w14:paraId="35E9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242" w:type="dxa"/>
            <w:vAlign w:val="center"/>
          </w:tcPr>
          <w:p w14:paraId="03B5F18A">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5</w:t>
            </w:r>
          </w:p>
        </w:tc>
        <w:tc>
          <w:tcPr>
            <w:tcW w:w="1843" w:type="dxa"/>
            <w:vAlign w:val="center"/>
          </w:tcPr>
          <w:p w14:paraId="75FFE1A5">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患者的清洁卫生</w:t>
            </w:r>
          </w:p>
        </w:tc>
        <w:tc>
          <w:tcPr>
            <w:tcW w:w="6306" w:type="dxa"/>
            <w:vAlign w:val="center"/>
          </w:tcPr>
          <w:p w14:paraId="74805EB7">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1.知道口腔护理、头发护理、皮肤护理及会阴部护理的评估内容、目的和操作注意事项。</w:t>
            </w:r>
          </w:p>
          <w:p w14:paraId="7BBE8258">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2.知道常用的口腔护理溶液及其作用。</w:t>
            </w:r>
          </w:p>
          <w:p w14:paraId="569B7183">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3.知道</w:t>
            </w:r>
            <w:r>
              <w:rPr>
                <w:rFonts w:hint="eastAsia" w:ascii="宋体" w:hAnsi="宋体" w:eastAsia="宋体" w:cs="Times New Roman"/>
                <w:color w:val="000000"/>
                <w:szCs w:val="21"/>
                <w:lang w:eastAsia="zh-CN"/>
              </w:rPr>
              <w:t>压力性损伤</w:t>
            </w:r>
            <w:r>
              <w:rPr>
                <w:rFonts w:hint="eastAsia" w:ascii="宋体" w:hAnsi="宋体" w:eastAsia="宋体" w:cs="Times New Roman"/>
                <w:color w:val="000000"/>
                <w:szCs w:val="21"/>
              </w:rPr>
              <w:t>发生的原因、高危人群及易患部位。</w:t>
            </w:r>
          </w:p>
          <w:p w14:paraId="245E9F0F">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4.理解</w:t>
            </w:r>
            <w:r>
              <w:rPr>
                <w:rFonts w:hint="eastAsia" w:ascii="宋体" w:hAnsi="宋体" w:eastAsia="宋体" w:cs="Times New Roman"/>
                <w:color w:val="000000"/>
                <w:szCs w:val="21"/>
                <w:lang w:eastAsia="zh-CN"/>
              </w:rPr>
              <w:t>压力性损伤</w:t>
            </w:r>
            <w:r>
              <w:rPr>
                <w:rFonts w:hint="eastAsia" w:ascii="宋体" w:hAnsi="宋体" w:eastAsia="宋体" w:cs="Times New Roman"/>
                <w:color w:val="000000"/>
                <w:szCs w:val="21"/>
              </w:rPr>
              <w:t>、剪切力的概念、</w:t>
            </w:r>
            <w:r>
              <w:rPr>
                <w:rFonts w:hint="eastAsia" w:ascii="宋体" w:hAnsi="宋体" w:eastAsia="宋体" w:cs="Times New Roman"/>
                <w:color w:val="000000"/>
                <w:szCs w:val="21"/>
                <w:lang w:eastAsia="zh-CN"/>
              </w:rPr>
              <w:t>压力性损伤</w:t>
            </w:r>
            <w:r>
              <w:rPr>
                <w:rFonts w:hint="eastAsia" w:ascii="宋体" w:hAnsi="宋体" w:eastAsia="宋体" w:cs="Times New Roman"/>
                <w:color w:val="000000"/>
                <w:szCs w:val="21"/>
              </w:rPr>
              <w:t>发生的高危人群及预防措施、</w:t>
            </w:r>
            <w:r>
              <w:rPr>
                <w:rFonts w:hint="eastAsia" w:ascii="宋体" w:hAnsi="宋体" w:eastAsia="宋体" w:cs="Times New Roman"/>
                <w:color w:val="000000"/>
                <w:szCs w:val="21"/>
                <w:lang w:eastAsia="zh-CN"/>
              </w:rPr>
              <w:t>压力性损伤</w:t>
            </w:r>
            <w:r>
              <w:rPr>
                <w:rFonts w:hint="eastAsia" w:ascii="宋体" w:hAnsi="宋体" w:eastAsia="宋体" w:cs="Times New Roman"/>
                <w:color w:val="000000"/>
                <w:szCs w:val="21"/>
              </w:rPr>
              <w:t>各期的临床表现、预防</w:t>
            </w:r>
            <w:r>
              <w:rPr>
                <w:rFonts w:hint="eastAsia" w:ascii="宋体" w:hAnsi="宋体" w:eastAsia="宋体" w:cs="Times New Roman"/>
                <w:color w:val="000000"/>
                <w:szCs w:val="21"/>
                <w:lang w:eastAsia="zh-CN"/>
              </w:rPr>
              <w:t>压力性损伤</w:t>
            </w:r>
            <w:r>
              <w:rPr>
                <w:rFonts w:hint="eastAsia" w:ascii="宋体" w:hAnsi="宋体" w:eastAsia="宋体" w:cs="Times New Roman"/>
                <w:color w:val="000000"/>
                <w:szCs w:val="21"/>
              </w:rPr>
              <w:t>的护理措施。</w:t>
            </w:r>
          </w:p>
          <w:p w14:paraId="5D08CE93">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5.能正确进行口腔护理、头发护理、皮肤护理、会阴部护理及晨晚间护理；正确指导病人采取有效措施预防</w:t>
            </w:r>
            <w:r>
              <w:rPr>
                <w:rFonts w:hint="eastAsia" w:ascii="宋体" w:hAnsi="宋体" w:eastAsia="宋体" w:cs="Times New Roman"/>
                <w:color w:val="000000"/>
                <w:szCs w:val="21"/>
                <w:lang w:eastAsia="zh-CN"/>
              </w:rPr>
              <w:t>压力性损伤</w:t>
            </w:r>
            <w:r>
              <w:rPr>
                <w:rFonts w:hint="eastAsia" w:ascii="宋体" w:hAnsi="宋体" w:eastAsia="宋体" w:cs="Times New Roman"/>
                <w:color w:val="000000"/>
                <w:szCs w:val="21"/>
              </w:rPr>
              <w:t>的发生。</w:t>
            </w:r>
          </w:p>
        </w:tc>
      </w:tr>
      <w:tr w14:paraId="0E70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654C72FB">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6</w:t>
            </w:r>
          </w:p>
        </w:tc>
        <w:tc>
          <w:tcPr>
            <w:tcW w:w="1843" w:type="dxa"/>
            <w:vAlign w:val="center"/>
          </w:tcPr>
          <w:p w14:paraId="40E403F1">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休息与活动</w:t>
            </w:r>
          </w:p>
        </w:tc>
        <w:tc>
          <w:tcPr>
            <w:tcW w:w="6306" w:type="dxa"/>
          </w:tcPr>
          <w:p w14:paraId="0677F897">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1.知道睡眠各时相的特点、失眠的原因及诊断标准、关节活动练习的目的。</w:t>
            </w:r>
          </w:p>
          <w:p w14:paraId="438869A2">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2.理解住院病人睡眠的特点、活动受限的原因及对机体的影响、病人的肌力和机体活动能力的级别。</w:t>
            </w:r>
          </w:p>
          <w:p w14:paraId="63494F34">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3.能采取有效的护理措施促进病人的睡眠、协助病人活动。</w:t>
            </w:r>
          </w:p>
        </w:tc>
      </w:tr>
      <w:tr w14:paraId="09BB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0BCD79F7">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7</w:t>
            </w:r>
          </w:p>
        </w:tc>
        <w:tc>
          <w:tcPr>
            <w:tcW w:w="1843" w:type="dxa"/>
            <w:vAlign w:val="center"/>
          </w:tcPr>
          <w:p w14:paraId="64CCA9CE">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医疗与护理文件</w:t>
            </w:r>
          </w:p>
        </w:tc>
        <w:tc>
          <w:tcPr>
            <w:tcW w:w="6306" w:type="dxa"/>
          </w:tcPr>
          <w:p w14:paraId="1A9B4311">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1.知道医疗与护理文件的记录原则及管理要求、医嘱处理的注意事项、病区交班报告书写顺序及要求。</w:t>
            </w:r>
          </w:p>
          <w:p w14:paraId="5168A6FC">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2.理解医疗与护理文件记录的重要性、医嘱的种类。</w:t>
            </w:r>
          </w:p>
          <w:p w14:paraId="36DAFA26">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3.能正确绘制体温单、处理各种医嘱、书写出入液记录单、特殊护理记录单、病区交班报告。</w:t>
            </w:r>
          </w:p>
        </w:tc>
      </w:tr>
      <w:tr w14:paraId="3CDD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718BF110">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8</w:t>
            </w:r>
          </w:p>
        </w:tc>
        <w:tc>
          <w:tcPr>
            <w:tcW w:w="1843" w:type="dxa"/>
            <w:vAlign w:val="center"/>
          </w:tcPr>
          <w:p w14:paraId="20ABE47B">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生命体征评估与护理</w:t>
            </w:r>
          </w:p>
        </w:tc>
        <w:tc>
          <w:tcPr>
            <w:tcW w:w="6306" w:type="dxa"/>
          </w:tcPr>
          <w:p w14:paraId="7D690B49">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1.知道体温、脉搏、呼吸、血压的正常值及生理变化。</w:t>
            </w:r>
          </w:p>
          <w:p w14:paraId="41E2F019">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理解体温过高、体温过低、稽留热、弛张热、间歇热、不规则热、心动过速、心动过缓、间歇脉、脉搏短绌、洪脉、细脉、交替脉、水冲脉、奇脉、高血压、低血压、呼吸增快、呼吸减慢、深度呼吸、潮式呼吸、间断呼吸、胸叩击、体位引流、吸痰法及氧气疗法的概念。</w:t>
            </w:r>
          </w:p>
          <w:p w14:paraId="3A21BD3C">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3.理解异常体温、脉搏、呼吸、血压及吸痰方法。</w:t>
            </w:r>
          </w:p>
          <w:p w14:paraId="3B656B95">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4.能正确测量和记录体温、脉搏、呼吸、血压；对缺氧病人实施正确的氧气疗法。</w:t>
            </w:r>
          </w:p>
        </w:tc>
      </w:tr>
      <w:tr w14:paraId="1441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05D1A895">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9</w:t>
            </w:r>
          </w:p>
        </w:tc>
        <w:tc>
          <w:tcPr>
            <w:tcW w:w="1843" w:type="dxa"/>
            <w:vAlign w:val="center"/>
          </w:tcPr>
          <w:p w14:paraId="573D0DCE">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冷、热疗法</w:t>
            </w:r>
          </w:p>
        </w:tc>
        <w:tc>
          <w:tcPr>
            <w:tcW w:w="6306" w:type="dxa"/>
          </w:tcPr>
          <w:p w14:paraId="5C478215">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1.知道冷、热疗法的生理效应和继发效应、影响冷、热疗法效果的因素。</w:t>
            </w:r>
          </w:p>
          <w:p w14:paraId="3E564F33">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2.理解冷、热疗法、继发效应的概念、冷疗法和热疗法的禁忌、各种冷疗法、热疗法的目的和方法。</w:t>
            </w:r>
          </w:p>
          <w:p w14:paraId="10291CC4">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3.能运用所学知识正确选择并实施冷、热疗法。</w:t>
            </w:r>
          </w:p>
        </w:tc>
      </w:tr>
      <w:tr w14:paraId="1944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251CF5C0">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10</w:t>
            </w:r>
          </w:p>
        </w:tc>
        <w:tc>
          <w:tcPr>
            <w:tcW w:w="1843" w:type="dxa"/>
            <w:vAlign w:val="center"/>
          </w:tcPr>
          <w:p w14:paraId="630C7AAC">
            <w:pPr>
              <w:snapToGrid w:val="0"/>
              <w:spacing w:line="288" w:lineRule="auto"/>
              <w:jc w:val="center"/>
              <w:rPr>
                <w:rFonts w:ascii="微软雅黑" w:hAnsi="微软雅黑" w:eastAsia="微软雅黑" w:cs="微软雅黑"/>
                <w:bCs/>
                <w:kern w:val="0"/>
                <w:szCs w:val="21"/>
                <w:shd w:val="clear" w:color="auto" w:fill="FFFFFF"/>
              </w:rPr>
            </w:pPr>
            <w:r>
              <w:rPr>
                <w:rFonts w:hint="eastAsia" w:ascii="微软雅黑" w:hAnsi="微软雅黑" w:eastAsia="微软雅黑" w:cs="微软雅黑"/>
                <w:bCs/>
                <w:kern w:val="0"/>
                <w:szCs w:val="21"/>
                <w:shd w:val="clear" w:color="auto" w:fill="FFFFFF"/>
              </w:rPr>
              <w:t>饮食与营养</w:t>
            </w:r>
          </w:p>
        </w:tc>
        <w:tc>
          <w:tcPr>
            <w:tcW w:w="6306" w:type="dxa"/>
          </w:tcPr>
          <w:p w14:paraId="70CB13F7">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1.知道医院饮食的类别及各类饮食的种类、原则与适用范围。</w:t>
            </w:r>
          </w:p>
          <w:p w14:paraId="39C9D1C2">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2.知道鼻饲术的适应证、禁忌证及注意事项。</w:t>
            </w:r>
          </w:p>
          <w:p w14:paraId="0E80D007">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3.理解治疗饮食、试验饮食、鼻饲法、要素饮食、胃肠外营养的概念。</w:t>
            </w:r>
          </w:p>
          <w:p w14:paraId="7EB95A21">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4.理解要素饮食、胃肠外营养的并发症及注意事项。</w:t>
            </w:r>
          </w:p>
          <w:p w14:paraId="27C3B008">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5.能规范地进行鼻饲法管喂饮食操作、能正确运用三种方法检查胃管是否在胃内。</w:t>
            </w:r>
          </w:p>
        </w:tc>
      </w:tr>
      <w:tr w14:paraId="5B0C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03AFDEF2">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11</w:t>
            </w:r>
          </w:p>
        </w:tc>
        <w:tc>
          <w:tcPr>
            <w:tcW w:w="1843" w:type="dxa"/>
            <w:vAlign w:val="center"/>
          </w:tcPr>
          <w:p w14:paraId="0D08A27D">
            <w:pPr>
              <w:snapToGrid w:val="0"/>
              <w:spacing w:line="288" w:lineRule="auto"/>
              <w:jc w:val="center"/>
              <w:rPr>
                <w:rFonts w:ascii="微软雅黑" w:hAnsi="微软雅黑" w:eastAsia="微软雅黑" w:cs="微软雅黑"/>
                <w:bCs/>
                <w:kern w:val="0"/>
                <w:szCs w:val="21"/>
                <w:shd w:val="clear" w:color="auto" w:fill="FFFFFF"/>
              </w:rPr>
            </w:pPr>
            <w:r>
              <w:rPr>
                <w:rFonts w:hint="eastAsia" w:ascii="微软雅黑" w:hAnsi="微软雅黑" w:eastAsia="微软雅黑" w:cs="微软雅黑"/>
                <w:bCs/>
                <w:kern w:val="0"/>
                <w:szCs w:val="21"/>
                <w:shd w:val="clear" w:color="auto" w:fill="FFFFFF"/>
              </w:rPr>
              <w:t>排泄</w:t>
            </w:r>
          </w:p>
        </w:tc>
        <w:tc>
          <w:tcPr>
            <w:tcW w:w="6306" w:type="dxa"/>
          </w:tcPr>
          <w:p w14:paraId="1F4E4E35">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1.知道与排便、排尿有关的解剖和生理、尿液、粪便观察的主要内容。</w:t>
            </w:r>
          </w:p>
          <w:p w14:paraId="1A1B14F5">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2.理解多尿、少尿、无尿、膀胱刺激征、尿潴留、尿失禁、导尿术、便秘、腹泻、排便失禁、灌肠法及肛管排气的概念。</w:t>
            </w:r>
          </w:p>
          <w:p w14:paraId="1BFFBC58">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3.理解影响排便、排尿的因素、导致排尿、排便异常的原因、留置导尿术病人的护理要点。</w:t>
            </w:r>
          </w:p>
          <w:p w14:paraId="3CE93E6E">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4.能规范完成导尿术、留置导尿术、大量不保留灌肠和保留灌肠的操作技术；能选择恰当的护理措施对排尿异常及排便异常病人进行护理。</w:t>
            </w:r>
          </w:p>
        </w:tc>
      </w:tr>
      <w:tr w14:paraId="7A21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1802B184">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12</w:t>
            </w:r>
          </w:p>
        </w:tc>
        <w:tc>
          <w:tcPr>
            <w:tcW w:w="1843" w:type="dxa"/>
            <w:vAlign w:val="center"/>
          </w:tcPr>
          <w:p w14:paraId="3A60E161">
            <w:pPr>
              <w:snapToGrid w:val="0"/>
              <w:spacing w:line="288" w:lineRule="auto"/>
              <w:jc w:val="center"/>
              <w:rPr>
                <w:rFonts w:ascii="微软雅黑" w:hAnsi="微软雅黑" w:eastAsia="微软雅黑" w:cs="微软雅黑"/>
                <w:bCs/>
                <w:kern w:val="0"/>
                <w:szCs w:val="21"/>
                <w:shd w:val="clear" w:color="auto" w:fill="FFFFFF"/>
              </w:rPr>
            </w:pPr>
            <w:r>
              <w:rPr>
                <w:rFonts w:hint="eastAsia" w:ascii="微软雅黑" w:hAnsi="微软雅黑" w:eastAsia="微软雅黑" w:cs="微软雅黑"/>
                <w:bCs/>
                <w:kern w:val="0"/>
                <w:szCs w:val="21"/>
                <w:shd w:val="clear" w:color="auto" w:fill="FFFFFF"/>
              </w:rPr>
              <w:t>给药</w:t>
            </w:r>
          </w:p>
        </w:tc>
        <w:tc>
          <w:tcPr>
            <w:tcW w:w="6306" w:type="dxa"/>
          </w:tcPr>
          <w:p w14:paraId="31B32A92">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1.知道常用药物的种类和常用给药医嘱的外文缩写词、给药途径和给药原则。</w:t>
            </w:r>
          </w:p>
          <w:p w14:paraId="4174DED5">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2.知道注射原则、各种注射方法的目的、常用部位及注意事项。</w:t>
            </w:r>
          </w:p>
          <w:p w14:paraId="3B956945">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3.知道常用过敏试验液的配制浓度、注入剂量和试验结果判断、青霉素过敏反应的原因和预防措施、破伤风抗毒素脱敏注射的原理和方法。</w:t>
            </w:r>
          </w:p>
          <w:p w14:paraId="6DF45860">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4.理解口服给药法、注射法、皮内注射法、皮下注射法、肌内注射法、静脉注射、雾化吸入法、超声雾化吸入法、氧气雾化吸入法、过敏反应及破伤风抗毒素脱敏注射法的概念。</w:t>
            </w:r>
          </w:p>
          <w:p w14:paraId="51EF52AF">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5.理解药物保管的要求、不同性能药物口服时的注意事项、静脉注射失败的原因、青霉素过敏性休克的临床表现。</w:t>
            </w:r>
          </w:p>
          <w:p w14:paraId="6543EE7F">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6.能以正确的方法完成各种注射法、超声雾化吸入法、氧气雾化吸入法的操作。</w:t>
            </w:r>
          </w:p>
        </w:tc>
      </w:tr>
      <w:tr w14:paraId="4C03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6D60F62B">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13</w:t>
            </w:r>
          </w:p>
        </w:tc>
        <w:tc>
          <w:tcPr>
            <w:tcW w:w="1843" w:type="dxa"/>
            <w:vAlign w:val="center"/>
          </w:tcPr>
          <w:p w14:paraId="3BD0CCFA">
            <w:pPr>
              <w:snapToGrid w:val="0"/>
              <w:spacing w:line="288" w:lineRule="auto"/>
              <w:jc w:val="center"/>
              <w:rPr>
                <w:rFonts w:ascii="微软雅黑" w:hAnsi="微软雅黑" w:eastAsia="微软雅黑" w:cs="微软雅黑"/>
                <w:bCs/>
                <w:kern w:val="0"/>
                <w:szCs w:val="21"/>
                <w:shd w:val="clear" w:color="auto" w:fill="FFFFFF"/>
              </w:rPr>
            </w:pPr>
            <w:r>
              <w:rPr>
                <w:rFonts w:hint="eastAsia" w:ascii="微软雅黑" w:hAnsi="微软雅黑" w:eastAsia="微软雅黑" w:cs="微软雅黑"/>
                <w:bCs/>
                <w:kern w:val="0"/>
                <w:szCs w:val="21"/>
                <w:shd w:val="clear" w:color="auto" w:fill="FFFFFF"/>
              </w:rPr>
              <w:t>静脉输液与输血</w:t>
            </w:r>
          </w:p>
        </w:tc>
        <w:tc>
          <w:tcPr>
            <w:tcW w:w="6306" w:type="dxa"/>
          </w:tcPr>
          <w:p w14:paraId="54546850">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1.知道静脉输液的目的、静脉补液应遵循的原则、常见输液障碍的种类。</w:t>
            </w:r>
          </w:p>
          <w:p w14:paraId="4532A891">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2.知道静脉输血的目的和原则、自体输血的优点、成分输血的特点。</w:t>
            </w:r>
          </w:p>
          <w:p w14:paraId="4379A4E8">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3.理解静脉输液、输液微粒、输液微粒污染、密闭式输液法、开放式输液法、静脉输血、间接输血法、直接输血法、血型、ABO血型鉴定、直接交叉配血试验及间接交叉配血试验的概念。</w:t>
            </w:r>
          </w:p>
          <w:p w14:paraId="2CB83724">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4.理解静脉输液的原理、常用溶液的种类及作用、周围静脉输液法、静脉输血法及成分输血的注意事项、输液过程中溶液不滴的原因、常见输液反应及常见输血反应的原因、各种血液制品的种类及作用。</w:t>
            </w:r>
          </w:p>
          <w:p w14:paraId="32283845">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5.能正确计算静脉输液的速度和时间；能用正确的方法排除输液过程中出现的各种障碍。</w:t>
            </w:r>
          </w:p>
        </w:tc>
      </w:tr>
      <w:tr w14:paraId="0643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3D746BCB">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14</w:t>
            </w:r>
          </w:p>
        </w:tc>
        <w:tc>
          <w:tcPr>
            <w:tcW w:w="1843" w:type="dxa"/>
            <w:vAlign w:val="center"/>
          </w:tcPr>
          <w:p w14:paraId="365810BB">
            <w:pPr>
              <w:snapToGrid w:val="0"/>
              <w:spacing w:line="288" w:lineRule="auto"/>
              <w:jc w:val="center"/>
              <w:rPr>
                <w:rFonts w:ascii="微软雅黑" w:hAnsi="微软雅黑" w:eastAsia="微软雅黑" w:cs="微软雅黑"/>
                <w:bCs/>
                <w:kern w:val="0"/>
                <w:szCs w:val="21"/>
                <w:shd w:val="clear" w:color="auto" w:fill="FFFFFF"/>
              </w:rPr>
            </w:pPr>
            <w:r>
              <w:rPr>
                <w:rFonts w:hint="eastAsia" w:ascii="微软雅黑" w:hAnsi="微软雅黑" w:eastAsia="微软雅黑" w:cs="微软雅黑"/>
                <w:bCs/>
                <w:kern w:val="0"/>
                <w:szCs w:val="21"/>
                <w:shd w:val="clear" w:color="auto" w:fill="FFFFFF"/>
              </w:rPr>
              <w:t>标本采集</w:t>
            </w:r>
          </w:p>
        </w:tc>
        <w:tc>
          <w:tcPr>
            <w:tcW w:w="6306" w:type="dxa"/>
          </w:tcPr>
          <w:p w14:paraId="6B86A26F">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1.知道标本采集的基本原则、血液标本、尿液标本、粪便标本、痰液标本及咽拭子标本采集的目的及注意事项。</w:t>
            </w:r>
          </w:p>
          <w:p w14:paraId="271267A0">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2.知道留取12小时或24小时尿标本常用防腐剂的种类、作用与用法。</w:t>
            </w:r>
          </w:p>
          <w:p w14:paraId="081E1CCD">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3.理解不同类型的静脉血标本采集的目的、采血量、方法及标本容器选择的不同点。</w:t>
            </w:r>
          </w:p>
        </w:tc>
      </w:tr>
      <w:tr w14:paraId="306D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69ECB9AA">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15</w:t>
            </w:r>
          </w:p>
        </w:tc>
        <w:tc>
          <w:tcPr>
            <w:tcW w:w="1843" w:type="dxa"/>
            <w:vAlign w:val="center"/>
          </w:tcPr>
          <w:p w14:paraId="399B91F7">
            <w:pPr>
              <w:snapToGrid w:val="0"/>
              <w:spacing w:line="288" w:lineRule="auto"/>
              <w:jc w:val="center"/>
              <w:rPr>
                <w:rFonts w:ascii="微软雅黑" w:hAnsi="微软雅黑" w:eastAsia="微软雅黑" w:cs="微软雅黑"/>
                <w:bCs/>
                <w:kern w:val="0"/>
                <w:szCs w:val="21"/>
                <w:shd w:val="clear" w:color="auto" w:fill="FFFFFF"/>
              </w:rPr>
            </w:pPr>
            <w:r>
              <w:rPr>
                <w:rFonts w:hint="eastAsia" w:ascii="微软雅黑" w:hAnsi="微软雅黑" w:eastAsia="微软雅黑" w:cs="微软雅黑"/>
                <w:bCs/>
                <w:kern w:val="0"/>
                <w:szCs w:val="21"/>
                <w:shd w:val="clear" w:color="auto" w:fill="FFFFFF"/>
              </w:rPr>
              <w:t>病情观察及危重患者管理</w:t>
            </w:r>
          </w:p>
        </w:tc>
        <w:tc>
          <w:tcPr>
            <w:tcW w:w="6306" w:type="dxa"/>
          </w:tcPr>
          <w:p w14:paraId="203B7717">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1.知道病情观察的内容及方法、洗胃的目的、常用洗胃溶液、简易呼吸器的操作要点。</w:t>
            </w:r>
          </w:p>
          <w:p w14:paraId="24547656">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2.理解意识状态、意识障碍、轻度昏迷、深度昏迷、洗胃的概念、意识障碍的种类、洗胃的注意事项。</w:t>
            </w:r>
          </w:p>
          <w:p w14:paraId="574C97EF">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3.能按照正确的原则和方法完成洗胃法、简易人工呼吸器的操作。</w:t>
            </w:r>
          </w:p>
        </w:tc>
      </w:tr>
      <w:tr w14:paraId="449A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42" w:type="dxa"/>
            <w:vAlign w:val="center"/>
          </w:tcPr>
          <w:p w14:paraId="759671F4">
            <w:pPr>
              <w:pStyle w:val="5"/>
              <w:widowControl/>
              <w:spacing w:before="60" w:beforeAutospacing="0" w:afterAutospacing="0" w:line="360" w:lineRule="exact"/>
              <w:jc w:val="center"/>
              <w:rPr>
                <w:rFonts w:ascii="微软雅黑" w:hAnsi="微软雅黑" w:eastAsia="微软雅黑" w:cs="微软雅黑"/>
                <w:bCs/>
                <w:sz w:val="21"/>
                <w:szCs w:val="21"/>
                <w:shd w:val="clear" w:color="auto" w:fill="FFFFFF"/>
              </w:rPr>
            </w:pPr>
            <w:r>
              <w:rPr>
                <w:rFonts w:hint="eastAsia" w:ascii="微软雅黑" w:hAnsi="微软雅黑" w:eastAsia="微软雅黑" w:cs="微软雅黑"/>
                <w:bCs/>
                <w:sz w:val="21"/>
                <w:szCs w:val="21"/>
                <w:shd w:val="clear" w:color="auto" w:fill="FFFFFF"/>
              </w:rPr>
              <w:t>16</w:t>
            </w:r>
          </w:p>
        </w:tc>
        <w:tc>
          <w:tcPr>
            <w:tcW w:w="1843" w:type="dxa"/>
            <w:vAlign w:val="center"/>
          </w:tcPr>
          <w:p w14:paraId="279E827F">
            <w:pPr>
              <w:snapToGrid w:val="0"/>
              <w:spacing w:line="288" w:lineRule="auto"/>
              <w:jc w:val="center"/>
              <w:rPr>
                <w:rFonts w:ascii="微软雅黑" w:hAnsi="微软雅黑" w:eastAsia="微软雅黑" w:cs="微软雅黑"/>
                <w:bCs/>
                <w:kern w:val="0"/>
                <w:szCs w:val="21"/>
                <w:shd w:val="clear" w:color="auto" w:fill="FFFFFF"/>
              </w:rPr>
            </w:pPr>
            <w:r>
              <w:rPr>
                <w:rFonts w:hint="eastAsia" w:ascii="微软雅黑" w:hAnsi="微软雅黑" w:eastAsia="微软雅黑" w:cs="微软雅黑"/>
                <w:bCs/>
                <w:kern w:val="0"/>
                <w:szCs w:val="21"/>
                <w:shd w:val="clear" w:color="auto" w:fill="FFFFFF"/>
              </w:rPr>
              <w:t>临终护理</w:t>
            </w:r>
          </w:p>
        </w:tc>
        <w:tc>
          <w:tcPr>
            <w:tcW w:w="6306" w:type="dxa"/>
          </w:tcPr>
          <w:p w14:paraId="07010880">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1.知道脑死亡的诊断标准、临终病人各阶段的生理评估內容、濒死病人的临床表现及死亡诊断依据。</w:t>
            </w:r>
          </w:p>
          <w:p w14:paraId="4DAFB91E">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2.理解临终关怀、死亡教育、濒死、脑死亡的概念、临终关怀的理念、死亡过程各期的表现和特点、临终病人的护理原则、临终病人的各个心理反应期。</w:t>
            </w:r>
          </w:p>
          <w:p w14:paraId="695D8A97">
            <w:pPr>
              <w:snapToGrid w:val="0"/>
              <w:spacing w:line="288" w:lineRule="auto"/>
              <w:jc w:val="left"/>
              <w:rPr>
                <w:rFonts w:ascii="宋体" w:hAnsi="宋体" w:eastAsia="宋体" w:cs="Times New Roman"/>
                <w:color w:val="000000"/>
                <w:szCs w:val="21"/>
              </w:rPr>
            </w:pPr>
            <w:r>
              <w:rPr>
                <w:rFonts w:hint="eastAsia" w:ascii="宋体" w:hAnsi="宋体" w:eastAsia="宋体" w:cs="Times New Roman"/>
                <w:color w:val="000000"/>
                <w:szCs w:val="21"/>
              </w:rPr>
              <w:t>3.能为临终病人及家属提供身心支持；能按正确的操作规程对逝者进行尸体料理。</w:t>
            </w:r>
          </w:p>
        </w:tc>
      </w:tr>
    </w:tbl>
    <w:p w14:paraId="7B62FFDB">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14:paraId="1FFE7FC7">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p>
    <w:p w14:paraId="0178BBA8">
      <w:pPr>
        <w:pStyle w:val="5"/>
        <w:widowControl/>
        <w:shd w:val="clear" w:color="auto" w:fill="FFFFFF"/>
        <w:spacing w:before="60" w:beforeAutospacing="0" w:afterAutospacing="0" w:line="360" w:lineRule="exact"/>
        <w:rPr>
          <w:rFonts w:ascii="微软雅黑" w:hAnsi="微软雅黑" w:eastAsia="微软雅黑" w:cs="微软雅黑"/>
          <w:b/>
          <w:bCs/>
          <w:sz w:val="28"/>
          <w:szCs w:val="28"/>
          <w:shd w:val="clear" w:color="auto" w:fill="FFFFFF"/>
        </w:rPr>
      </w:pPr>
      <w:r>
        <w:rPr>
          <w:rFonts w:hint="eastAsia" w:ascii="微软雅黑" w:hAnsi="微软雅黑" w:eastAsia="微软雅黑" w:cs="微软雅黑"/>
          <w:b/>
          <w:bCs/>
          <w:sz w:val="28"/>
          <w:szCs w:val="28"/>
          <w:shd w:val="clear" w:color="auto" w:fill="FFFFFF"/>
        </w:rPr>
        <w:t>五、参考教材</w:t>
      </w:r>
    </w:p>
    <w:p w14:paraId="0FC3BEA7">
      <w:pPr>
        <w:pStyle w:val="5"/>
        <w:widowControl/>
        <w:shd w:val="clear" w:color="auto" w:fill="FFFFFF"/>
        <w:adjustRightInd w:val="0"/>
        <w:snapToGrid w:val="0"/>
        <w:spacing w:beforeAutospacing="0" w:afterAutospacing="0" w:line="360" w:lineRule="auto"/>
        <w:rPr>
          <w:rFonts w:cstheme="minorBidi"/>
          <w:kern w:val="2"/>
          <w:sz w:val="21"/>
          <w:szCs w:val="22"/>
        </w:rPr>
      </w:pPr>
    </w:p>
    <w:p w14:paraId="6375BCFF">
      <w:pPr>
        <w:pStyle w:val="5"/>
        <w:widowControl/>
        <w:shd w:val="clear" w:color="auto" w:fill="FFFFFF"/>
        <w:adjustRightInd w:val="0"/>
        <w:snapToGrid w:val="0"/>
        <w:spacing w:beforeAutospacing="0" w:afterAutospacing="0" w:line="360" w:lineRule="auto"/>
        <w:rPr>
          <w:rFonts w:cstheme="minorBidi"/>
          <w:kern w:val="2"/>
          <w:sz w:val="21"/>
          <w:szCs w:val="22"/>
        </w:rPr>
      </w:pPr>
      <w:r>
        <w:rPr>
          <w:rFonts w:hint="eastAsia" w:cstheme="minorBidi"/>
          <w:kern w:val="2"/>
          <w:sz w:val="21"/>
          <w:szCs w:val="22"/>
        </w:rPr>
        <w:t>1.护理学导论（第</w:t>
      </w:r>
      <w:r>
        <w:rPr>
          <w:rFonts w:cstheme="minorBidi"/>
          <w:kern w:val="2"/>
          <w:sz w:val="21"/>
          <w:szCs w:val="22"/>
        </w:rPr>
        <w:t>5</w:t>
      </w:r>
      <w:r>
        <w:rPr>
          <w:rFonts w:hint="eastAsia" w:cstheme="minorBidi"/>
          <w:kern w:val="2"/>
          <w:sz w:val="21"/>
          <w:szCs w:val="22"/>
        </w:rPr>
        <w:t>版），李小妹、冯先琼主编，人民卫生出版社，2022年01月</w:t>
      </w:r>
    </w:p>
    <w:p w14:paraId="742A65E8">
      <w:pPr>
        <w:pStyle w:val="5"/>
        <w:widowControl/>
        <w:shd w:val="clear" w:color="auto" w:fill="FFFFFF"/>
        <w:adjustRightInd w:val="0"/>
        <w:snapToGrid w:val="0"/>
        <w:spacing w:beforeAutospacing="0" w:afterAutospacing="0" w:line="360" w:lineRule="auto"/>
        <w:rPr>
          <w:rFonts w:cstheme="minorBidi"/>
          <w:kern w:val="2"/>
          <w:sz w:val="21"/>
          <w:szCs w:val="22"/>
        </w:rPr>
      </w:pPr>
      <w:r>
        <w:rPr>
          <w:rFonts w:cstheme="minorBidi"/>
          <w:kern w:val="2"/>
          <w:sz w:val="21"/>
          <w:szCs w:val="22"/>
        </w:rPr>
        <w:drawing>
          <wp:inline distT="0" distB="0" distL="0" distR="0">
            <wp:extent cx="1910080" cy="2748280"/>
            <wp:effectExtent l="0" t="0" r="0" b="0"/>
            <wp:docPr id="8907993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99326"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910080" cy="2748280"/>
                    </a:xfrm>
                    <a:prstGeom prst="rect">
                      <a:avLst/>
                    </a:prstGeom>
                    <a:noFill/>
                    <a:ln>
                      <a:noFill/>
                    </a:ln>
                  </pic:spPr>
                </pic:pic>
              </a:graphicData>
            </a:graphic>
          </wp:inline>
        </w:drawing>
      </w:r>
      <w:r>
        <w:rPr>
          <w:rFonts w:hint="eastAsia" w:cstheme="minorBidi"/>
          <w:kern w:val="2"/>
          <w:sz w:val="21"/>
          <w:szCs w:val="22"/>
        </w:rPr>
        <w:drawing>
          <wp:inline distT="0" distB="0" distL="0" distR="0">
            <wp:extent cx="1943735" cy="2652395"/>
            <wp:effectExtent l="0" t="0" r="0" b="0"/>
            <wp:docPr id="15157930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93089"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952144" cy="2664147"/>
                    </a:xfrm>
                    <a:prstGeom prst="rect">
                      <a:avLst/>
                    </a:prstGeom>
                    <a:noFill/>
                    <a:ln>
                      <a:noFill/>
                    </a:ln>
                  </pic:spPr>
                </pic:pic>
              </a:graphicData>
            </a:graphic>
          </wp:inline>
        </w:drawing>
      </w:r>
    </w:p>
    <w:p w14:paraId="36E01399">
      <w:pPr>
        <w:pStyle w:val="5"/>
        <w:widowControl/>
        <w:shd w:val="clear" w:color="auto" w:fill="FFFFFF"/>
        <w:adjustRightInd w:val="0"/>
        <w:snapToGrid w:val="0"/>
        <w:spacing w:beforeAutospacing="0" w:afterAutospacing="0" w:line="360" w:lineRule="auto"/>
        <w:rPr>
          <w:rFonts w:cstheme="minorBidi"/>
          <w:kern w:val="2"/>
          <w:sz w:val="21"/>
          <w:szCs w:val="22"/>
        </w:rPr>
      </w:pPr>
    </w:p>
    <w:p w14:paraId="36E06E0C">
      <w:pPr>
        <w:pStyle w:val="5"/>
        <w:widowControl/>
        <w:shd w:val="clear" w:color="auto" w:fill="FFFFFF"/>
        <w:adjustRightInd w:val="0"/>
        <w:snapToGrid w:val="0"/>
        <w:spacing w:beforeAutospacing="0" w:afterAutospacing="0" w:line="360" w:lineRule="auto"/>
        <w:rPr>
          <w:rFonts w:cstheme="minorBidi"/>
          <w:kern w:val="2"/>
          <w:sz w:val="21"/>
          <w:szCs w:val="22"/>
        </w:rPr>
      </w:pPr>
      <w:r>
        <w:rPr>
          <w:rFonts w:hint="eastAsia" w:cstheme="minorBidi"/>
          <w:kern w:val="2"/>
          <w:sz w:val="21"/>
          <w:szCs w:val="22"/>
        </w:rPr>
        <w:t>2.基础护理学（第</w:t>
      </w:r>
      <w:r>
        <w:rPr>
          <w:rFonts w:cstheme="minorBidi"/>
          <w:kern w:val="2"/>
          <w:sz w:val="21"/>
          <w:szCs w:val="22"/>
        </w:rPr>
        <w:t>7</w:t>
      </w:r>
      <w:r>
        <w:rPr>
          <w:rFonts w:hint="eastAsia" w:cstheme="minorBidi"/>
          <w:kern w:val="2"/>
          <w:sz w:val="21"/>
          <w:szCs w:val="22"/>
        </w:rPr>
        <w:t>版），李小寒、尚少梅主编，人民卫生出版社，2022年10月</w:t>
      </w:r>
    </w:p>
    <w:p w14:paraId="3C79D504">
      <w:pPr>
        <w:pStyle w:val="5"/>
        <w:widowControl/>
        <w:shd w:val="clear" w:color="auto" w:fill="FFFFFF"/>
        <w:adjustRightInd w:val="0"/>
        <w:snapToGrid w:val="0"/>
        <w:spacing w:beforeAutospacing="0" w:afterAutospacing="0" w:line="360" w:lineRule="auto"/>
        <w:rPr>
          <w:rFonts w:cstheme="minorBidi"/>
          <w:kern w:val="2"/>
          <w:sz w:val="21"/>
          <w:szCs w:val="22"/>
        </w:rPr>
      </w:pPr>
      <w:r>
        <w:rPr>
          <w:rFonts w:cstheme="minorBidi"/>
          <w:kern w:val="2"/>
          <w:sz w:val="21"/>
          <w:szCs w:val="22"/>
        </w:rPr>
        <w:drawing>
          <wp:inline distT="0" distB="0" distL="0" distR="0">
            <wp:extent cx="1929130" cy="2800350"/>
            <wp:effectExtent l="0" t="0" r="0" b="0"/>
            <wp:docPr id="143001724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17245"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29130" cy="2800350"/>
                    </a:xfrm>
                    <a:prstGeom prst="rect">
                      <a:avLst/>
                    </a:prstGeom>
                    <a:noFill/>
                    <a:ln>
                      <a:noFill/>
                    </a:ln>
                  </pic:spPr>
                </pic:pic>
              </a:graphicData>
            </a:graphic>
          </wp:inline>
        </w:drawing>
      </w:r>
      <w:r>
        <w:rPr>
          <w:rFonts w:cstheme="minorBidi"/>
          <w:kern w:val="2"/>
          <w:sz w:val="21"/>
          <w:szCs w:val="22"/>
        </w:rPr>
        <w:drawing>
          <wp:inline distT="0" distB="0" distL="0" distR="0">
            <wp:extent cx="1994535" cy="2714625"/>
            <wp:effectExtent l="0" t="0" r="5715" b="0"/>
            <wp:docPr id="110081525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15251"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06470" cy="273060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ZTdhZWMxOTE3MWNjMzk4MzAyNWEyNjY2MjU1Y2IifQ=="/>
  </w:docVars>
  <w:rsids>
    <w:rsidRoot w:val="005E5878"/>
    <w:rsid w:val="0001307E"/>
    <w:rsid w:val="0001308C"/>
    <w:rsid w:val="000143FF"/>
    <w:rsid w:val="0001733B"/>
    <w:rsid w:val="00022C76"/>
    <w:rsid w:val="0002726F"/>
    <w:rsid w:val="00042C7C"/>
    <w:rsid w:val="000440EE"/>
    <w:rsid w:val="0005073A"/>
    <w:rsid w:val="00063484"/>
    <w:rsid w:val="00073A26"/>
    <w:rsid w:val="000D1335"/>
    <w:rsid w:val="000D6349"/>
    <w:rsid w:val="000F5DEC"/>
    <w:rsid w:val="00110D5B"/>
    <w:rsid w:val="00121134"/>
    <w:rsid w:val="0012411D"/>
    <w:rsid w:val="001507C0"/>
    <w:rsid w:val="00150BC8"/>
    <w:rsid w:val="00166F0B"/>
    <w:rsid w:val="00167B59"/>
    <w:rsid w:val="00167EE5"/>
    <w:rsid w:val="001723F7"/>
    <w:rsid w:val="00173F30"/>
    <w:rsid w:val="0019765F"/>
    <w:rsid w:val="001C5274"/>
    <w:rsid w:val="001D54ED"/>
    <w:rsid w:val="001E281B"/>
    <w:rsid w:val="001F2DA8"/>
    <w:rsid w:val="002121DD"/>
    <w:rsid w:val="002163F6"/>
    <w:rsid w:val="0022721C"/>
    <w:rsid w:val="002334CF"/>
    <w:rsid w:val="0025351A"/>
    <w:rsid w:val="002618DD"/>
    <w:rsid w:val="00261DF7"/>
    <w:rsid w:val="00264507"/>
    <w:rsid w:val="002719D4"/>
    <w:rsid w:val="002900BD"/>
    <w:rsid w:val="002C0849"/>
    <w:rsid w:val="002C5D04"/>
    <w:rsid w:val="002D2699"/>
    <w:rsid w:val="00313E63"/>
    <w:rsid w:val="003254B9"/>
    <w:rsid w:val="003276F7"/>
    <w:rsid w:val="00332FA6"/>
    <w:rsid w:val="00337751"/>
    <w:rsid w:val="003625DD"/>
    <w:rsid w:val="003752F7"/>
    <w:rsid w:val="0039241C"/>
    <w:rsid w:val="00393DC7"/>
    <w:rsid w:val="003C1D78"/>
    <w:rsid w:val="003D74A2"/>
    <w:rsid w:val="003E2C15"/>
    <w:rsid w:val="00410D19"/>
    <w:rsid w:val="00434FE2"/>
    <w:rsid w:val="00444B86"/>
    <w:rsid w:val="00451F73"/>
    <w:rsid w:val="00452A2D"/>
    <w:rsid w:val="004717C9"/>
    <w:rsid w:val="004970CA"/>
    <w:rsid w:val="004D2294"/>
    <w:rsid w:val="004D28F5"/>
    <w:rsid w:val="004F2835"/>
    <w:rsid w:val="005006F3"/>
    <w:rsid w:val="00502C39"/>
    <w:rsid w:val="00547139"/>
    <w:rsid w:val="005477E4"/>
    <w:rsid w:val="00564B16"/>
    <w:rsid w:val="00566C3C"/>
    <w:rsid w:val="00570A26"/>
    <w:rsid w:val="00581E7E"/>
    <w:rsid w:val="0059385C"/>
    <w:rsid w:val="005C23C6"/>
    <w:rsid w:val="005E0278"/>
    <w:rsid w:val="005E5878"/>
    <w:rsid w:val="00623F5C"/>
    <w:rsid w:val="00624D59"/>
    <w:rsid w:val="00625421"/>
    <w:rsid w:val="006267E3"/>
    <w:rsid w:val="006415FD"/>
    <w:rsid w:val="0066361E"/>
    <w:rsid w:val="00671DAE"/>
    <w:rsid w:val="00672B59"/>
    <w:rsid w:val="00677BE5"/>
    <w:rsid w:val="00687002"/>
    <w:rsid w:val="006A5ED5"/>
    <w:rsid w:val="006B66C3"/>
    <w:rsid w:val="006B7ADD"/>
    <w:rsid w:val="006D7849"/>
    <w:rsid w:val="00701045"/>
    <w:rsid w:val="00723A17"/>
    <w:rsid w:val="00745E95"/>
    <w:rsid w:val="0077654F"/>
    <w:rsid w:val="00776F25"/>
    <w:rsid w:val="00795899"/>
    <w:rsid w:val="007B64BE"/>
    <w:rsid w:val="007D4516"/>
    <w:rsid w:val="007E18F8"/>
    <w:rsid w:val="00807C25"/>
    <w:rsid w:val="00814EDD"/>
    <w:rsid w:val="00862F80"/>
    <w:rsid w:val="00864B72"/>
    <w:rsid w:val="00873CEF"/>
    <w:rsid w:val="00874FE8"/>
    <w:rsid w:val="00882407"/>
    <w:rsid w:val="008832A7"/>
    <w:rsid w:val="008846BF"/>
    <w:rsid w:val="00890389"/>
    <w:rsid w:val="008E4B3B"/>
    <w:rsid w:val="008F5485"/>
    <w:rsid w:val="009158FD"/>
    <w:rsid w:val="00941903"/>
    <w:rsid w:val="0094432A"/>
    <w:rsid w:val="009449C2"/>
    <w:rsid w:val="009479A4"/>
    <w:rsid w:val="00961A56"/>
    <w:rsid w:val="0096249E"/>
    <w:rsid w:val="00964C60"/>
    <w:rsid w:val="00967B52"/>
    <w:rsid w:val="009C7624"/>
    <w:rsid w:val="009E3038"/>
    <w:rsid w:val="00A04D72"/>
    <w:rsid w:val="00A04F45"/>
    <w:rsid w:val="00A0797F"/>
    <w:rsid w:val="00A319E6"/>
    <w:rsid w:val="00A3469A"/>
    <w:rsid w:val="00A45ED6"/>
    <w:rsid w:val="00A466C8"/>
    <w:rsid w:val="00A6027C"/>
    <w:rsid w:val="00A87AC9"/>
    <w:rsid w:val="00A90E55"/>
    <w:rsid w:val="00A91F9C"/>
    <w:rsid w:val="00AB6A4B"/>
    <w:rsid w:val="00B27BD3"/>
    <w:rsid w:val="00B5370E"/>
    <w:rsid w:val="00B71A55"/>
    <w:rsid w:val="00B82AF1"/>
    <w:rsid w:val="00B94822"/>
    <w:rsid w:val="00BB6549"/>
    <w:rsid w:val="00BB7088"/>
    <w:rsid w:val="00BC1BDD"/>
    <w:rsid w:val="00BC4A81"/>
    <w:rsid w:val="00BC55D5"/>
    <w:rsid w:val="00BC6433"/>
    <w:rsid w:val="00BE1719"/>
    <w:rsid w:val="00BE237E"/>
    <w:rsid w:val="00BF5716"/>
    <w:rsid w:val="00C06A50"/>
    <w:rsid w:val="00C16247"/>
    <w:rsid w:val="00C24B25"/>
    <w:rsid w:val="00C345D2"/>
    <w:rsid w:val="00C4527F"/>
    <w:rsid w:val="00C554F3"/>
    <w:rsid w:val="00C571CD"/>
    <w:rsid w:val="00C72DCF"/>
    <w:rsid w:val="00CD03F0"/>
    <w:rsid w:val="00CD0462"/>
    <w:rsid w:val="00CD4AB2"/>
    <w:rsid w:val="00CE4571"/>
    <w:rsid w:val="00D05DBE"/>
    <w:rsid w:val="00D2092B"/>
    <w:rsid w:val="00D224A8"/>
    <w:rsid w:val="00D225F2"/>
    <w:rsid w:val="00D944BF"/>
    <w:rsid w:val="00DA2FA3"/>
    <w:rsid w:val="00DB344C"/>
    <w:rsid w:val="00DC2850"/>
    <w:rsid w:val="00DC51BA"/>
    <w:rsid w:val="00DE05DB"/>
    <w:rsid w:val="00DE6503"/>
    <w:rsid w:val="00DF74AE"/>
    <w:rsid w:val="00E02DFD"/>
    <w:rsid w:val="00E048AE"/>
    <w:rsid w:val="00E05884"/>
    <w:rsid w:val="00E35E3D"/>
    <w:rsid w:val="00E45529"/>
    <w:rsid w:val="00E62C57"/>
    <w:rsid w:val="00E63BAE"/>
    <w:rsid w:val="00E65499"/>
    <w:rsid w:val="00E71739"/>
    <w:rsid w:val="00E73B6C"/>
    <w:rsid w:val="00E935BF"/>
    <w:rsid w:val="00EC45AB"/>
    <w:rsid w:val="00ED297D"/>
    <w:rsid w:val="00ED3855"/>
    <w:rsid w:val="00ED51EC"/>
    <w:rsid w:val="00EE7EA2"/>
    <w:rsid w:val="00F10A5E"/>
    <w:rsid w:val="00F40D62"/>
    <w:rsid w:val="00F441B9"/>
    <w:rsid w:val="00F56B8C"/>
    <w:rsid w:val="00F7770D"/>
    <w:rsid w:val="00F86400"/>
    <w:rsid w:val="00F90E43"/>
    <w:rsid w:val="00F97763"/>
    <w:rsid w:val="00FC1EED"/>
    <w:rsid w:val="00FF2DE9"/>
    <w:rsid w:val="06440D3E"/>
    <w:rsid w:val="0673165A"/>
    <w:rsid w:val="081E6AF7"/>
    <w:rsid w:val="0AC53E4B"/>
    <w:rsid w:val="0ADE3811"/>
    <w:rsid w:val="0C8046FD"/>
    <w:rsid w:val="0D2D35F4"/>
    <w:rsid w:val="0EBD1AFA"/>
    <w:rsid w:val="0F1D274F"/>
    <w:rsid w:val="0F396F9C"/>
    <w:rsid w:val="0F8B530D"/>
    <w:rsid w:val="0FF84C8B"/>
    <w:rsid w:val="10EE6245"/>
    <w:rsid w:val="150B6938"/>
    <w:rsid w:val="152F3B71"/>
    <w:rsid w:val="16930C31"/>
    <w:rsid w:val="1704552D"/>
    <w:rsid w:val="17FF3092"/>
    <w:rsid w:val="1812668F"/>
    <w:rsid w:val="19C53DFD"/>
    <w:rsid w:val="1A854546"/>
    <w:rsid w:val="1B0937A6"/>
    <w:rsid w:val="1B91519E"/>
    <w:rsid w:val="1CFC1ED6"/>
    <w:rsid w:val="1DB454BE"/>
    <w:rsid w:val="240761F1"/>
    <w:rsid w:val="27D554EB"/>
    <w:rsid w:val="28D67436"/>
    <w:rsid w:val="28EB3986"/>
    <w:rsid w:val="2ACE691D"/>
    <w:rsid w:val="2CA42059"/>
    <w:rsid w:val="2E3B15FD"/>
    <w:rsid w:val="2E442531"/>
    <w:rsid w:val="2E653189"/>
    <w:rsid w:val="2EAF4402"/>
    <w:rsid w:val="2F4F613C"/>
    <w:rsid w:val="32570C33"/>
    <w:rsid w:val="32EA55DC"/>
    <w:rsid w:val="34E951E4"/>
    <w:rsid w:val="35BD6AB8"/>
    <w:rsid w:val="38090E2E"/>
    <w:rsid w:val="393D1E1C"/>
    <w:rsid w:val="3C385645"/>
    <w:rsid w:val="3C7655BB"/>
    <w:rsid w:val="3E356E61"/>
    <w:rsid w:val="3FED0F9C"/>
    <w:rsid w:val="406E6BFE"/>
    <w:rsid w:val="423D3AFC"/>
    <w:rsid w:val="429046A8"/>
    <w:rsid w:val="45EE7846"/>
    <w:rsid w:val="467B7F86"/>
    <w:rsid w:val="47D71308"/>
    <w:rsid w:val="4A815C72"/>
    <w:rsid w:val="4B032EF5"/>
    <w:rsid w:val="501D5F2B"/>
    <w:rsid w:val="515130D3"/>
    <w:rsid w:val="52F83502"/>
    <w:rsid w:val="54832CD1"/>
    <w:rsid w:val="54935E30"/>
    <w:rsid w:val="54B126B9"/>
    <w:rsid w:val="584009E3"/>
    <w:rsid w:val="59163AED"/>
    <w:rsid w:val="596F5BCA"/>
    <w:rsid w:val="5B4B594E"/>
    <w:rsid w:val="5D4E3166"/>
    <w:rsid w:val="5D743741"/>
    <w:rsid w:val="5F1F022E"/>
    <w:rsid w:val="61987926"/>
    <w:rsid w:val="61AD4BCD"/>
    <w:rsid w:val="63C32509"/>
    <w:rsid w:val="64627D8F"/>
    <w:rsid w:val="65667E1F"/>
    <w:rsid w:val="6DC07669"/>
    <w:rsid w:val="70160A69"/>
    <w:rsid w:val="731D6043"/>
    <w:rsid w:val="7919236E"/>
    <w:rsid w:val="7B4F1014"/>
    <w:rsid w:val="7B547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szCs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uiPriority w:val="99"/>
    <w:rPr>
      <w:sz w:val="18"/>
      <w:szCs w:val="18"/>
    </w:rPr>
  </w:style>
  <w:style w:type="character" w:customStyle="1" w:styleId="10">
    <w:name w:val="页脚 字符"/>
    <w:basedOn w:val="8"/>
    <w:link w:val="3"/>
    <w:uiPriority w:val="99"/>
    <w:rPr>
      <w:sz w:val="18"/>
      <w:szCs w:val="18"/>
    </w:rPr>
  </w:style>
  <w:style w:type="character" w:customStyle="1" w:styleId="11">
    <w:name w:val="标题 1 字符"/>
    <w:basedOn w:val="8"/>
    <w:link w:val="2"/>
    <w:qFormat/>
    <w:uiPriority w:val="0"/>
    <w:rPr>
      <w:rFonts w:ascii="宋体" w:hAnsi="宋体" w:eastAsia="宋体" w:cs="Times New Roman"/>
      <w:b/>
      <w:kern w:val="44"/>
      <w:sz w:val="48"/>
      <w:szCs w:val="4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4237</Words>
  <Characters>4382</Characters>
  <Lines>32</Lines>
  <Paragraphs>9</Paragraphs>
  <TotalTime>48</TotalTime>
  <ScaleCrop>false</ScaleCrop>
  <LinksUpToDate>false</LinksUpToDate>
  <CharactersWithSpaces>4382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2021-03-22T01:42:00Z</dcterms:created>
  <dc:creator>AutoBVT</dc:creator>
  <cp:lastModifiedBy>郭永洪</cp:lastModifiedBy>
  <dcterms:modified xsi:type="dcterms:W3CDTF">2024-09-20T01:54:21Z</dcterms:modified>
  <cp:revision>585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A64CBDE510034200BFB4A679AB435018_12</vt:lpwstr>
  </property>
</Properties>
</file>