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pBdr>
          <w:bottom w:val="single" w:color="CC3300" w:sz="12" w:space="3"/>
        </w:pBdr>
        <w:shd w:val="clear" w:color="auto" w:fill="FFFFFF"/>
        <w:spacing w:line="360" w:lineRule="exact"/>
        <w:jc w:val="center"/>
        <w:rPr>
          <w:rFonts w:hint="default" w:ascii="微软雅黑" w:hAnsi="微软雅黑" w:eastAsia="微软雅黑" w:cs="微软雅黑"/>
          <w:sz w:val="30"/>
          <w:szCs w:val="30"/>
        </w:rPr>
      </w:pPr>
      <w:bookmarkStart w:id="0" w:name="_GoBack"/>
      <w:r>
        <w:rPr>
          <w:rFonts w:hint="eastAsia" w:ascii="微软雅黑" w:hAnsi="微软雅黑" w:eastAsia="微软雅黑" w:cs="微软雅黑"/>
          <w:sz w:val="30"/>
          <w:szCs w:val="30"/>
          <w:shd w:val="clear" w:color="auto" w:fill="FFFFFF"/>
          <w:lang w:val="en-US" w:eastAsia="zh-CN"/>
        </w:rPr>
        <w:t>2024年商学院</w:t>
      </w:r>
      <w:r>
        <w:rPr>
          <w:rFonts w:ascii="微软雅黑" w:hAnsi="微软雅黑" w:eastAsia="微软雅黑" w:cs="微软雅黑"/>
          <w:sz w:val="30"/>
          <w:szCs w:val="30"/>
          <w:shd w:val="clear" w:color="auto" w:fill="FFFFFF"/>
        </w:rPr>
        <w:t>专升本</w:t>
      </w:r>
      <w:r>
        <w:rPr>
          <w:rFonts w:hint="eastAsia" w:ascii="微软雅黑" w:hAnsi="微软雅黑" w:eastAsia="微软雅黑" w:cs="微软雅黑"/>
          <w:sz w:val="30"/>
          <w:szCs w:val="30"/>
          <w:shd w:val="clear" w:color="auto" w:fill="FFFFFF"/>
          <w:lang w:val="en-US" w:eastAsia="zh-CN"/>
        </w:rPr>
        <w:t>招生</w:t>
      </w:r>
      <w:r>
        <w:rPr>
          <w:rFonts w:ascii="微软雅黑" w:hAnsi="微软雅黑" w:eastAsia="微软雅黑" w:cs="微软雅黑"/>
          <w:sz w:val="30"/>
          <w:szCs w:val="30"/>
          <w:shd w:val="clear" w:color="auto" w:fill="FFFFFF"/>
        </w:rPr>
        <w:t>【</w:t>
      </w:r>
      <w:r>
        <w:rPr>
          <w:rFonts w:hint="eastAsia" w:ascii="微软雅黑" w:hAnsi="微软雅黑" w:eastAsia="微软雅黑" w:cs="微软雅黑"/>
          <w:sz w:val="30"/>
          <w:szCs w:val="30"/>
          <w:shd w:val="clear" w:color="auto" w:fill="FFFFFF"/>
          <w:lang w:val="en-US" w:eastAsia="zh-Hans"/>
        </w:rPr>
        <w:t>经济管理综合</w:t>
      </w:r>
      <w:r>
        <w:rPr>
          <w:rFonts w:ascii="微软雅黑" w:hAnsi="微软雅黑" w:eastAsia="微软雅黑" w:cs="微软雅黑"/>
          <w:sz w:val="30"/>
          <w:szCs w:val="30"/>
          <w:shd w:val="clear" w:color="auto" w:fill="FFFFFF"/>
        </w:rPr>
        <w:t>】考试大纲</w:t>
      </w:r>
      <w:bookmarkEnd w:id="0"/>
    </w:p>
    <w:p>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一、考试目标</w:t>
      </w:r>
    </w:p>
    <w:p>
      <w:pPr>
        <w:pStyle w:val="5"/>
        <w:widowControl/>
        <w:shd w:val="clear" w:color="auto" w:fill="FFFFFF"/>
        <w:spacing w:line="360" w:lineRule="exact"/>
        <w:ind w:firstLine="480"/>
        <w:rPr>
          <w:rFonts w:hint="default" w:ascii="微软雅黑" w:hAnsi="微软雅黑" w:eastAsia="微软雅黑" w:cs="微软雅黑"/>
          <w:sz w:val="21"/>
          <w:szCs w:val="21"/>
          <w:lang w:eastAsia="zh-Hans"/>
        </w:rPr>
      </w:pPr>
      <w:r>
        <w:rPr>
          <w:rFonts w:hint="eastAsia" w:ascii="微软雅黑" w:hAnsi="微软雅黑" w:eastAsia="微软雅黑" w:cs="微软雅黑"/>
          <w:sz w:val="21"/>
          <w:szCs w:val="21"/>
          <w:lang w:val="en-US" w:eastAsia="zh-Hans"/>
        </w:rPr>
        <w:t>经济管理综合测试考生是否掌握经济管理的基本理论、基本方法</w:t>
      </w:r>
      <w:r>
        <w:rPr>
          <w:rFonts w:hint="default" w:ascii="微软雅黑" w:hAnsi="微软雅黑" w:eastAsia="微软雅黑" w:cs="微软雅黑"/>
          <w:sz w:val="21"/>
          <w:szCs w:val="21"/>
          <w:lang w:eastAsia="zh-Hans"/>
        </w:rPr>
        <w:t>、</w:t>
      </w:r>
      <w:r>
        <w:rPr>
          <w:rFonts w:hint="eastAsia" w:ascii="微软雅黑" w:hAnsi="微软雅黑" w:eastAsia="微软雅黑" w:cs="微软雅黑"/>
          <w:sz w:val="21"/>
          <w:szCs w:val="21"/>
          <w:lang w:val="en-US" w:eastAsia="zh-Hans"/>
        </w:rPr>
        <w:t>基本思维，以及是否具备运用经济管理基本理论和方法分析并解决实际问题的能力</w:t>
      </w:r>
      <w:r>
        <w:rPr>
          <w:rFonts w:hint="default" w:ascii="微软雅黑" w:hAnsi="微软雅黑" w:eastAsia="微软雅黑" w:cs="微软雅黑"/>
          <w:sz w:val="21"/>
          <w:szCs w:val="21"/>
          <w:lang w:eastAsia="zh-Hans"/>
        </w:rPr>
        <w:t>，</w:t>
      </w:r>
      <w:r>
        <w:rPr>
          <w:rFonts w:hint="eastAsia" w:ascii="微软雅黑" w:hAnsi="微软雅黑" w:eastAsia="微软雅黑" w:cs="微软雅黑"/>
          <w:sz w:val="21"/>
          <w:szCs w:val="21"/>
          <w:lang w:val="en-US" w:eastAsia="zh-Hans"/>
        </w:rPr>
        <w:t>并为本科阶段课程的学习奠定基础</w:t>
      </w:r>
      <w:r>
        <w:rPr>
          <w:rFonts w:hint="default" w:ascii="微软雅黑" w:hAnsi="微软雅黑" w:eastAsia="微软雅黑" w:cs="微软雅黑"/>
          <w:sz w:val="21"/>
          <w:szCs w:val="21"/>
          <w:lang w:eastAsia="zh-Hans"/>
        </w:rPr>
        <w:t>。</w:t>
      </w:r>
    </w:p>
    <w:p>
      <w:pPr>
        <w:pStyle w:val="5"/>
        <w:widowControl/>
        <w:numPr>
          <w:ilvl w:val="0"/>
          <w:numId w:val="1"/>
        </w:numPr>
        <w:shd w:val="clear" w:color="auto" w:fill="FFFFFF"/>
        <w:spacing w:before="60" w:beforeAutospacing="0" w:afterAutospacing="0" w:line="360" w:lineRule="exact"/>
        <w:rPr>
          <w:rFonts w:hint="eastAsia"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考试细则</w:t>
      </w:r>
    </w:p>
    <w:p>
      <w:pPr>
        <w:pStyle w:val="5"/>
        <w:widowControl/>
        <w:numPr>
          <w:ilvl w:val="0"/>
          <w:numId w:val="2"/>
        </w:numPr>
        <w:shd w:val="clear" w:color="auto" w:fill="FFFFFF"/>
        <w:spacing w:line="360" w:lineRule="exact"/>
        <w:ind w:firstLine="480"/>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lang w:val="en-US" w:eastAsia="zh-Hans"/>
        </w:rPr>
        <w:t>经济管理综合包含微观经济学和管理学两个科目</w:t>
      </w:r>
      <w:r>
        <w:rPr>
          <w:rFonts w:hint="default" w:ascii="微软雅黑" w:hAnsi="微软雅黑" w:eastAsia="微软雅黑" w:cs="微软雅黑"/>
          <w:sz w:val="21"/>
          <w:szCs w:val="21"/>
          <w:shd w:val="clear" w:color="auto" w:fill="FFFFFF"/>
          <w:lang w:eastAsia="zh-Hans"/>
        </w:rPr>
        <w:t>。</w:t>
      </w:r>
    </w:p>
    <w:p>
      <w:pPr>
        <w:pStyle w:val="5"/>
        <w:widowControl/>
        <w:numPr>
          <w:ilvl w:val="0"/>
          <w:numId w:val="2"/>
        </w:numPr>
        <w:shd w:val="clear" w:color="auto" w:fill="FFFFFF"/>
        <w:spacing w:line="360" w:lineRule="exact"/>
        <w:ind w:firstLine="480"/>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考试</w:t>
      </w:r>
      <w:r>
        <w:rPr>
          <w:rFonts w:hint="eastAsia" w:ascii="微软雅黑" w:hAnsi="微软雅黑" w:eastAsia="微软雅黑" w:cs="微软雅黑"/>
          <w:sz w:val="21"/>
          <w:szCs w:val="21"/>
          <w:shd w:val="clear" w:color="auto" w:fill="FFFFFF"/>
          <w:lang w:val="en-US" w:eastAsia="zh-Hans"/>
        </w:rPr>
        <w:t>为闭卷考试</w:t>
      </w:r>
      <w:r>
        <w:rPr>
          <w:rFonts w:hint="default" w:ascii="微软雅黑" w:hAnsi="微软雅黑" w:eastAsia="微软雅黑" w:cs="微软雅黑"/>
          <w:sz w:val="21"/>
          <w:szCs w:val="21"/>
          <w:shd w:val="clear" w:color="auto" w:fill="FFFFFF"/>
          <w:lang w:eastAsia="zh-Hans"/>
        </w:rPr>
        <w:t>，</w:t>
      </w:r>
      <w:r>
        <w:rPr>
          <w:rFonts w:hint="eastAsia" w:ascii="微软雅黑" w:hAnsi="微软雅黑" w:eastAsia="微软雅黑" w:cs="微软雅黑"/>
          <w:sz w:val="21"/>
          <w:szCs w:val="21"/>
          <w:shd w:val="clear" w:color="auto" w:fill="FFFFFF"/>
        </w:rPr>
        <w:t>采用纸质试卷</w:t>
      </w:r>
      <w:r>
        <w:rPr>
          <w:rFonts w:hint="default"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lang w:val="en-US" w:eastAsia="zh-Hans"/>
        </w:rPr>
        <w:t>经济管理综合</w:t>
      </w:r>
      <w:r>
        <w:rPr>
          <w:rFonts w:hint="eastAsia" w:ascii="微软雅黑" w:hAnsi="微软雅黑" w:eastAsia="微软雅黑" w:cs="微软雅黑"/>
          <w:sz w:val="21"/>
          <w:szCs w:val="21"/>
          <w:shd w:val="clear" w:color="auto" w:fill="FFFFFF"/>
        </w:rPr>
        <w:t>的考试</w:t>
      </w:r>
      <w:r>
        <w:rPr>
          <w:rFonts w:hint="eastAsia" w:ascii="微软雅黑" w:hAnsi="微软雅黑" w:eastAsia="微软雅黑" w:cs="微软雅黑"/>
          <w:sz w:val="21"/>
          <w:szCs w:val="21"/>
          <w:shd w:val="clear" w:color="auto" w:fill="FFFFFF"/>
          <w:lang w:val="en-US" w:eastAsia="zh-Hans"/>
        </w:rPr>
        <w:t>总分为</w:t>
      </w:r>
      <w:r>
        <w:rPr>
          <w:rFonts w:hint="eastAsia" w:ascii="微软雅黑" w:hAnsi="微软雅黑" w:eastAsia="微软雅黑" w:cs="微软雅黑"/>
          <w:sz w:val="21"/>
          <w:szCs w:val="21"/>
          <w:shd w:val="clear" w:color="auto" w:fill="FFFFFF"/>
        </w:rPr>
        <w:t>100分</w:t>
      </w:r>
      <w:r>
        <w:rPr>
          <w:rFonts w:hint="default" w:ascii="微软雅黑" w:hAnsi="微软雅黑" w:eastAsia="微软雅黑" w:cs="微软雅黑"/>
          <w:sz w:val="21"/>
          <w:szCs w:val="21"/>
          <w:shd w:val="clear" w:color="auto" w:fill="FFFFFF"/>
          <w:lang w:eastAsia="zh-Hans"/>
        </w:rPr>
        <w:t>，</w:t>
      </w:r>
      <w:r>
        <w:rPr>
          <w:rFonts w:hint="eastAsia" w:ascii="微软雅黑" w:hAnsi="微软雅黑" w:eastAsia="微软雅黑" w:cs="微软雅黑"/>
          <w:sz w:val="21"/>
          <w:szCs w:val="21"/>
          <w:shd w:val="clear" w:color="auto" w:fill="FFFFFF"/>
          <w:lang w:val="en-US" w:eastAsia="zh-Hans"/>
        </w:rPr>
        <w:t>微观</w:t>
      </w:r>
      <w:r>
        <w:rPr>
          <w:rFonts w:hint="eastAsia" w:ascii="微软雅黑" w:hAnsi="微软雅黑" w:eastAsia="微软雅黑" w:cs="微软雅黑"/>
          <w:sz w:val="21"/>
          <w:szCs w:val="21"/>
          <w:shd w:val="clear" w:color="auto" w:fill="FFFFFF"/>
        </w:rPr>
        <w:t>经济学和管理学各占5</w:t>
      </w:r>
      <w:r>
        <w:rPr>
          <w:rFonts w:ascii="微软雅黑" w:hAnsi="微软雅黑" w:eastAsia="微软雅黑" w:cs="微软雅黑"/>
          <w:sz w:val="21"/>
          <w:szCs w:val="21"/>
          <w:shd w:val="clear" w:color="auto" w:fill="FFFFFF"/>
        </w:rPr>
        <w:t>0分；</w:t>
      </w:r>
      <w:r>
        <w:rPr>
          <w:rFonts w:hint="eastAsia" w:ascii="微软雅黑" w:hAnsi="微软雅黑" w:eastAsia="微软雅黑" w:cs="微软雅黑"/>
          <w:sz w:val="21"/>
          <w:szCs w:val="21"/>
          <w:shd w:val="clear" w:color="auto" w:fill="FFFFFF"/>
        </w:rPr>
        <w:t>时间共计120分钟。</w:t>
      </w:r>
    </w:p>
    <w:p>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三、试卷题型及分值分布要求</w:t>
      </w:r>
    </w:p>
    <w:tbl>
      <w:tblPr>
        <w:tblStyle w:val="6"/>
        <w:tblpPr w:leftFromText="180" w:rightFromText="180" w:vertAnchor="text" w:horzAnchor="page" w:tblpX="2093" w:tblpY="208"/>
        <w:tblOverlap w:val="never"/>
        <w:tblW w:w="4203"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829"/>
        <w:gridCol w:w="2695"/>
        <w:gridCol w:w="26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77"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default" w:ascii="微软雅黑" w:hAnsi="微软雅黑" w:eastAsia="微软雅黑" w:cs="微软雅黑"/>
                <w:sz w:val="21"/>
                <w:szCs w:val="21"/>
                <w:lang w:val="en-US" w:eastAsia="zh-Hans"/>
              </w:rPr>
            </w:pPr>
            <w:r>
              <w:rPr>
                <w:rFonts w:hint="eastAsia" w:ascii="微软雅黑" w:hAnsi="微软雅黑" w:eastAsia="微软雅黑" w:cs="微软雅黑"/>
                <w:sz w:val="21"/>
                <w:szCs w:val="21"/>
                <w:lang w:val="en-US" w:eastAsia="zh-Hans"/>
              </w:rPr>
              <w:t>考试科目</w:t>
            </w:r>
          </w:p>
        </w:tc>
        <w:tc>
          <w:tcPr>
            <w:tcW w:w="1882"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题型</w:t>
            </w:r>
          </w:p>
        </w:tc>
        <w:tc>
          <w:tcPr>
            <w:tcW w:w="184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eastAsia" w:ascii="微软雅黑" w:hAnsi="微软雅黑" w:eastAsia="微软雅黑" w:cs="微软雅黑"/>
                <w:sz w:val="21"/>
                <w:szCs w:val="21"/>
                <w:lang w:val="en-US" w:eastAsia="zh-Hans"/>
              </w:rPr>
            </w:pPr>
            <w:r>
              <w:rPr>
                <w:rFonts w:hint="eastAsia" w:ascii="微软雅黑" w:hAnsi="微软雅黑" w:eastAsia="微软雅黑" w:cs="微软雅黑"/>
                <w:sz w:val="21"/>
                <w:szCs w:val="21"/>
              </w:rPr>
              <w:t>分值</w:t>
            </w:r>
            <w:r>
              <w:rPr>
                <w:rFonts w:hint="eastAsia" w:ascii="微软雅黑" w:hAnsi="微软雅黑" w:eastAsia="微软雅黑" w:cs="微软雅黑"/>
                <w:sz w:val="21"/>
                <w:szCs w:val="21"/>
                <w:lang w:val="en-US" w:eastAsia="zh-Hans"/>
              </w:rPr>
              <w:t>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4" w:hRule="atLeast"/>
        </w:trPr>
        <w:tc>
          <w:tcPr>
            <w:tcW w:w="1277" w:type="pct"/>
            <w:vMerge w:val="restart"/>
            <w:tcBorders>
              <w:top w:val="nil"/>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default" w:ascii="微软雅黑" w:hAnsi="微软雅黑" w:eastAsia="微软雅黑" w:cs="微软雅黑"/>
                <w:sz w:val="21"/>
                <w:szCs w:val="21"/>
                <w:lang w:val="en-US" w:eastAsia="zh-Hans"/>
              </w:rPr>
            </w:pPr>
            <w:r>
              <w:rPr>
                <w:rFonts w:hint="eastAsia" w:ascii="微软雅黑" w:hAnsi="微软雅黑" w:eastAsia="微软雅黑" w:cs="微软雅黑"/>
                <w:sz w:val="21"/>
                <w:szCs w:val="21"/>
                <w:lang w:val="en-US" w:eastAsia="zh-Hans"/>
              </w:rPr>
              <w:t>微观经济学</w:t>
            </w:r>
          </w:p>
        </w:tc>
        <w:tc>
          <w:tcPr>
            <w:tcW w:w="1882"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keepNext w:val="0"/>
              <w:keepLines w:val="0"/>
              <w:pageBreakBefore w:val="0"/>
              <w:widowControl/>
              <w:kinsoku/>
              <w:wordWrap/>
              <w:overflowPunct/>
              <w:topLinePunct w:val="0"/>
              <w:autoSpaceDE/>
              <w:autoSpaceDN/>
              <w:bidi w:val="0"/>
              <w:adjustRightInd/>
              <w:snapToGrid/>
              <w:spacing w:afterAutospacing="0" w:line="360" w:lineRule="exact"/>
              <w:jc w:val="center"/>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单项选择题</w:t>
            </w:r>
          </w:p>
        </w:tc>
        <w:tc>
          <w:tcPr>
            <w:tcW w:w="184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default" w:ascii="微软雅黑" w:hAnsi="微软雅黑" w:eastAsia="微软雅黑" w:cs="微软雅黑"/>
                <w:sz w:val="21"/>
                <w:szCs w:val="21"/>
              </w:rPr>
            </w:pPr>
            <w:r>
              <w:rPr>
                <w:rFonts w:hint="default" w:ascii="微软雅黑" w:hAnsi="微软雅黑" w:eastAsia="微软雅黑" w:cs="微软雅黑"/>
                <w:sz w:val="21"/>
                <w:szCs w:val="21"/>
              </w:rPr>
              <w:t>5-15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9" w:hRule="atLeast"/>
        </w:trPr>
        <w:tc>
          <w:tcPr>
            <w:tcW w:w="1277" w:type="pct"/>
            <w:vMerge w:val="continue"/>
            <w:tcBorders>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eastAsia" w:ascii="微软雅黑" w:hAnsi="微软雅黑" w:eastAsia="微软雅黑" w:cs="微软雅黑"/>
                <w:sz w:val="21"/>
                <w:szCs w:val="21"/>
              </w:rPr>
            </w:pPr>
          </w:p>
        </w:tc>
        <w:tc>
          <w:tcPr>
            <w:tcW w:w="1882"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判断题</w:t>
            </w:r>
          </w:p>
        </w:tc>
        <w:tc>
          <w:tcPr>
            <w:tcW w:w="184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default" w:ascii="微软雅黑" w:hAnsi="微软雅黑" w:eastAsia="微软雅黑" w:cs="微软雅黑"/>
                <w:sz w:val="21"/>
                <w:szCs w:val="21"/>
              </w:rPr>
            </w:pPr>
            <w:r>
              <w:rPr>
                <w:rFonts w:hint="default" w:ascii="微软雅黑" w:hAnsi="微软雅黑" w:eastAsia="微软雅黑" w:cs="微软雅黑"/>
                <w:sz w:val="21"/>
                <w:szCs w:val="21"/>
              </w:rPr>
              <w:t>5-15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7" w:hRule="atLeast"/>
        </w:trPr>
        <w:tc>
          <w:tcPr>
            <w:tcW w:w="1277" w:type="pct"/>
            <w:vMerge w:val="continue"/>
            <w:tcBorders>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eastAsia" w:ascii="微软雅黑" w:hAnsi="微软雅黑" w:eastAsia="微软雅黑" w:cs="微软雅黑"/>
                <w:sz w:val="21"/>
                <w:szCs w:val="21"/>
              </w:rPr>
            </w:pPr>
          </w:p>
        </w:tc>
        <w:tc>
          <w:tcPr>
            <w:tcW w:w="1882"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简答题</w:t>
            </w:r>
          </w:p>
        </w:tc>
        <w:tc>
          <w:tcPr>
            <w:tcW w:w="184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default" w:ascii="微软雅黑" w:hAnsi="微软雅黑" w:eastAsia="微软雅黑" w:cs="微软雅黑"/>
                <w:sz w:val="21"/>
                <w:szCs w:val="21"/>
              </w:rPr>
            </w:pPr>
            <w:r>
              <w:rPr>
                <w:rFonts w:hint="default" w:ascii="微软雅黑" w:hAnsi="微软雅黑" w:eastAsia="微软雅黑" w:cs="微软雅黑"/>
                <w:sz w:val="21"/>
                <w:szCs w:val="21"/>
              </w:rPr>
              <w:t>10-20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2" w:hRule="atLeast"/>
        </w:trPr>
        <w:tc>
          <w:tcPr>
            <w:tcW w:w="1277"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eastAsia" w:ascii="微软雅黑" w:hAnsi="微软雅黑" w:eastAsia="微软雅黑" w:cs="微软雅黑"/>
                <w:sz w:val="21"/>
                <w:szCs w:val="21"/>
              </w:rPr>
            </w:pPr>
          </w:p>
        </w:tc>
        <w:tc>
          <w:tcPr>
            <w:tcW w:w="1882"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论述题</w:t>
            </w:r>
          </w:p>
        </w:tc>
        <w:tc>
          <w:tcPr>
            <w:tcW w:w="184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default" w:ascii="微软雅黑" w:hAnsi="微软雅黑" w:eastAsia="微软雅黑" w:cs="微软雅黑"/>
                <w:sz w:val="21"/>
                <w:szCs w:val="21"/>
              </w:rPr>
            </w:pPr>
            <w:r>
              <w:rPr>
                <w:rFonts w:hint="default" w:ascii="微软雅黑" w:hAnsi="微软雅黑" w:eastAsia="微软雅黑" w:cs="微软雅黑"/>
                <w:sz w:val="21"/>
                <w:szCs w:val="21"/>
              </w:rPr>
              <w:t>10-20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4" w:hRule="atLeast"/>
        </w:trPr>
        <w:tc>
          <w:tcPr>
            <w:tcW w:w="3159" w:type="pct"/>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lang w:val="en-US" w:eastAsia="zh-Hans"/>
              </w:rPr>
              <w:t>小</w:t>
            </w:r>
            <w:r>
              <w:rPr>
                <w:rFonts w:hint="eastAsia" w:ascii="微软雅黑" w:hAnsi="微软雅黑" w:eastAsia="微软雅黑" w:cs="微软雅黑"/>
                <w:sz w:val="21"/>
                <w:szCs w:val="21"/>
              </w:rPr>
              <w:t>计</w:t>
            </w:r>
          </w:p>
        </w:tc>
        <w:tc>
          <w:tcPr>
            <w:tcW w:w="184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ascii="微软雅黑" w:hAnsi="微软雅黑" w:eastAsia="微软雅黑" w:cs="微软雅黑"/>
                <w:sz w:val="21"/>
                <w:szCs w:val="21"/>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8" w:hRule="atLeast"/>
        </w:trPr>
        <w:tc>
          <w:tcPr>
            <w:tcW w:w="1277"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default" w:ascii="微软雅黑" w:hAnsi="微软雅黑" w:eastAsia="微软雅黑" w:cs="微软雅黑"/>
                <w:sz w:val="21"/>
                <w:szCs w:val="21"/>
                <w:lang w:val="en-US" w:eastAsia="zh-Hans"/>
              </w:rPr>
            </w:pPr>
            <w:r>
              <w:rPr>
                <w:rFonts w:hint="eastAsia" w:ascii="微软雅黑" w:hAnsi="微软雅黑" w:eastAsia="微软雅黑" w:cs="微软雅黑"/>
                <w:sz w:val="21"/>
                <w:szCs w:val="21"/>
                <w:lang w:val="en-US" w:eastAsia="zh-Hans"/>
              </w:rPr>
              <w:t>考试科目</w:t>
            </w:r>
          </w:p>
        </w:tc>
        <w:tc>
          <w:tcPr>
            <w:tcW w:w="1882"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widowControl/>
              <w:spacing w:after="90" w:afterAutospacing="0" w:line="360" w:lineRule="exact"/>
              <w:jc w:val="center"/>
              <w:rPr>
                <w:rFonts w:hint="default" w:ascii="微软雅黑" w:hAnsi="微软雅黑" w:eastAsia="微软雅黑" w:cs="微软雅黑"/>
                <w:sz w:val="21"/>
                <w:szCs w:val="21"/>
                <w:lang w:val="en-US" w:eastAsia="zh-Hans"/>
              </w:rPr>
            </w:pPr>
            <w:r>
              <w:rPr>
                <w:rFonts w:hint="eastAsia" w:ascii="微软雅黑" w:hAnsi="微软雅黑" w:eastAsia="微软雅黑" w:cs="微软雅黑"/>
                <w:sz w:val="21"/>
                <w:szCs w:val="21"/>
                <w:lang w:val="en-US" w:eastAsia="zh-Hans"/>
              </w:rPr>
              <w:t>题型</w:t>
            </w:r>
          </w:p>
        </w:tc>
        <w:tc>
          <w:tcPr>
            <w:tcW w:w="1840"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widowControl/>
              <w:spacing w:after="90" w:afterAutospacing="0" w:line="360" w:lineRule="exact"/>
              <w:jc w:val="center"/>
              <w:rPr>
                <w:rFonts w:hint="default" w:ascii="微软雅黑" w:hAnsi="微软雅黑" w:eastAsia="微软雅黑" w:cs="微软雅黑"/>
                <w:sz w:val="21"/>
                <w:szCs w:val="21"/>
                <w:lang w:val="en-US" w:eastAsia="zh-Hans"/>
              </w:rPr>
            </w:pPr>
            <w:r>
              <w:rPr>
                <w:rFonts w:hint="eastAsia" w:ascii="微软雅黑" w:hAnsi="微软雅黑" w:eastAsia="微软雅黑" w:cs="微软雅黑"/>
                <w:sz w:val="21"/>
                <w:szCs w:val="21"/>
                <w:lang w:val="en-US" w:eastAsia="zh-Hans"/>
              </w:rPr>
              <w:t>分值范围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6" w:hRule="atLeast"/>
        </w:trPr>
        <w:tc>
          <w:tcPr>
            <w:tcW w:w="1277" w:type="pct"/>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default" w:ascii="微软雅黑" w:hAnsi="微软雅黑" w:eastAsia="微软雅黑" w:cs="微软雅黑"/>
                <w:sz w:val="21"/>
                <w:szCs w:val="21"/>
                <w:lang w:val="en-US" w:eastAsia="zh-Hans"/>
              </w:rPr>
            </w:pPr>
            <w:r>
              <w:rPr>
                <w:rFonts w:hint="eastAsia" w:ascii="微软雅黑" w:hAnsi="微软雅黑" w:eastAsia="微软雅黑" w:cs="微软雅黑"/>
                <w:sz w:val="21"/>
                <w:szCs w:val="21"/>
                <w:lang w:val="en-US" w:eastAsia="zh-Hans"/>
              </w:rPr>
              <w:t>管理学</w:t>
            </w:r>
          </w:p>
        </w:tc>
        <w:tc>
          <w:tcPr>
            <w:tcW w:w="1882"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widowControl/>
              <w:spacing w:after="90" w:afterAutospacing="0" w:line="360" w:lineRule="exact"/>
              <w:jc w:val="center"/>
              <w:rPr>
                <w:rFonts w:hint="eastAsia" w:ascii="微软雅黑" w:hAnsi="微软雅黑" w:eastAsia="微软雅黑" w:cs="微软雅黑"/>
                <w:sz w:val="21"/>
                <w:szCs w:val="21"/>
                <w:lang w:val="en-US" w:eastAsia="zh-Hans"/>
              </w:rPr>
            </w:pPr>
            <w:r>
              <w:rPr>
                <w:rFonts w:hint="eastAsia" w:ascii="微软雅黑" w:hAnsi="微软雅黑" w:eastAsia="微软雅黑" w:cs="微软雅黑"/>
                <w:sz w:val="21"/>
                <w:szCs w:val="21"/>
                <w:lang w:val="en-US" w:eastAsia="zh-Hans"/>
              </w:rPr>
              <w:t>判断题</w:t>
            </w:r>
          </w:p>
        </w:tc>
        <w:tc>
          <w:tcPr>
            <w:tcW w:w="1840"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widowControl/>
              <w:spacing w:after="90" w:afterAutospacing="0" w:line="360" w:lineRule="exact"/>
              <w:jc w:val="center"/>
              <w:rPr>
                <w:rFonts w:hint="eastAsia" w:ascii="微软雅黑" w:hAnsi="微软雅黑" w:eastAsia="微软雅黑" w:cs="微软雅黑"/>
                <w:sz w:val="21"/>
                <w:szCs w:val="21"/>
                <w:lang w:val="en-US" w:eastAsia="zh-Hans"/>
              </w:rPr>
            </w:pPr>
            <w:r>
              <w:rPr>
                <w:rFonts w:hint="eastAsia" w:ascii="微软雅黑" w:hAnsi="微软雅黑" w:eastAsia="微软雅黑" w:cs="微软雅黑"/>
                <w:sz w:val="21"/>
                <w:szCs w:val="21"/>
                <w:lang w:val="en-US" w:eastAsia="zh-CN"/>
              </w:rPr>
              <w:t>5-10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4" w:hRule="atLeast"/>
        </w:trPr>
        <w:tc>
          <w:tcPr>
            <w:tcW w:w="1277" w:type="pct"/>
            <w:vMerge w:val="continue"/>
            <w:tcBorders>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eastAsia" w:ascii="微软雅黑" w:hAnsi="微软雅黑" w:eastAsia="微软雅黑" w:cs="微软雅黑"/>
                <w:sz w:val="21"/>
                <w:szCs w:val="21"/>
              </w:rPr>
            </w:pPr>
          </w:p>
        </w:tc>
        <w:tc>
          <w:tcPr>
            <w:tcW w:w="1882"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widowControl/>
              <w:spacing w:after="90" w:afterAutospacing="0" w:line="360" w:lineRule="exact"/>
              <w:jc w:val="center"/>
              <w:rPr>
                <w:rFonts w:hint="eastAsia" w:ascii="微软雅黑" w:hAnsi="微软雅黑" w:eastAsia="微软雅黑" w:cs="微软雅黑"/>
                <w:sz w:val="21"/>
                <w:szCs w:val="21"/>
                <w:lang w:val="en-US" w:eastAsia="zh-Hans"/>
              </w:rPr>
            </w:pPr>
            <w:r>
              <w:rPr>
                <w:rFonts w:hint="eastAsia" w:ascii="微软雅黑" w:hAnsi="微软雅黑" w:eastAsia="微软雅黑" w:cs="微软雅黑"/>
                <w:sz w:val="21"/>
                <w:szCs w:val="21"/>
                <w:lang w:val="en-US" w:eastAsia="zh-CN"/>
              </w:rPr>
              <w:t>单选</w:t>
            </w:r>
            <w:r>
              <w:rPr>
                <w:rFonts w:hint="eastAsia" w:ascii="微软雅黑" w:hAnsi="微软雅黑" w:eastAsia="微软雅黑" w:cs="微软雅黑"/>
                <w:sz w:val="21"/>
                <w:szCs w:val="21"/>
                <w:lang w:val="en-US" w:eastAsia="zh-Hans"/>
              </w:rPr>
              <w:t>题</w:t>
            </w:r>
          </w:p>
        </w:tc>
        <w:tc>
          <w:tcPr>
            <w:tcW w:w="1840"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widowControl/>
              <w:spacing w:after="90" w:afterAutospacing="0" w:line="36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4" w:hRule="atLeast"/>
        </w:trPr>
        <w:tc>
          <w:tcPr>
            <w:tcW w:w="1277" w:type="pct"/>
            <w:vMerge w:val="continue"/>
            <w:tcBorders>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eastAsia" w:ascii="微软雅黑" w:hAnsi="微软雅黑" w:eastAsia="微软雅黑" w:cs="微软雅黑"/>
                <w:sz w:val="21"/>
                <w:szCs w:val="21"/>
              </w:rPr>
            </w:pPr>
          </w:p>
        </w:tc>
        <w:tc>
          <w:tcPr>
            <w:tcW w:w="1882"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widowControl/>
              <w:spacing w:after="90" w:afterAutospacing="0" w:line="360" w:lineRule="exact"/>
              <w:jc w:val="center"/>
              <w:rPr>
                <w:rFonts w:hint="eastAsia" w:ascii="微软雅黑" w:hAnsi="微软雅黑" w:eastAsia="微软雅黑" w:cs="微软雅黑"/>
                <w:sz w:val="21"/>
                <w:szCs w:val="21"/>
                <w:lang w:val="en-US" w:eastAsia="zh-Hans"/>
              </w:rPr>
            </w:pPr>
            <w:r>
              <w:rPr>
                <w:rFonts w:hint="eastAsia" w:ascii="微软雅黑" w:hAnsi="微软雅黑" w:eastAsia="微软雅黑" w:cs="微软雅黑"/>
                <w:sz w:val="21"/>
                <w:szCs w:val="21"/>
                <w:lang w:val="en-US" w:eastAsia="zh-Hans"/>
              </w:rPr>
              <w:t>多选题</w:t>
            </w:r>
          </w:p>
        </w:tc>
        <w:tc>
          <w:tcPr>
            <w:tcW w:w="1840"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widowControl/>
              <w:spacing w:after="90" w:afterAutospacing="0" w:line="36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6" w:hRule="atLeast"/>
        </w:trPr>
        <w:tc>
          <w:tcPr>
            <w:tcW w:w="1277" w:type="pct"/>
            <w:vMerge w:val="continue"/>
            <w:tcBorders>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eastAsia" w:ascii="微软雅黑" w:hAnsi="微软雅黑" w:eastAsia="微软雅黑" w:cs="微软雅黑"/>
                <w:sz w:val="21"/>
                <w:szCs w:val="21"/>
              </w:rPr>
            </w:pPr>
          </w:p>
        </w:tc>
        <w:tc>
          <w:tcPr>
            <w:tcW w:w="1882"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widowControl/>
              <w:spacing w:after="90" w:afterAutospacing="0" w:line="360" w:lineRule="exact"/>
              <w:jc w:val="center"/>
              <w:rPr>
                <w:rFonts w:hint="eastAsia" w:ascii="微软雅黑" w:hAnsi="微软雅黑" w:eastAsia="微软雅黑" w:cs="微软雅黑"/>
                <w:sz w:val="21"/>
                <w:szCs w:val="21"/>
                <w:lang w:val="en-US" w:eastAsia="zh-Hans"/>
              </w:rPr>
            </w:pPr>
            <w:r>
              <w:rPr>
                <w:rFonts w:hint="eastAsia" w:ascii="微软雅黑" w:hAnsi="微软雅黑" w:eastAsia="微软雅黑" w:cs="微软雅黑"/>
                <w:sz w:val="21"/>
                <w:szCs w:val="21"/>
                <w:lang w:val="en-US" w:eastAsia="zh-Hans"/>
              </w:rPr>
              <w:t>简答题</w:t>
            </w:r>
          </w:p>
        </w:tc>
        <w:tc>
          <w:tcPr>
            <w:tcW w:w="1840"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widowControl/>
              <w:spacing w:after="90" w:afterAutospacing="0" w:line="36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3" w:hRule="atLeast"/>
        </w:trPr>
        <w:tc>
          <w:tcPr>
            <w:tcW w:w="1277" w:type="pct"/>
            <w:vMerge w:val="continue"/>
            <w:tcBorders>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eastAsia" w:ascii="微软雅黑" w:hAnsi="微软雅黑" w:eastAsia="微软雅黑" w:cs="微软雅黑"/>
                <w:sz w:val="21"/>
                <w:szCs w:val="21"/>
              </w:rPr>
            </w:pPr>
          </w:p>
        </w:tc>
        <w:tc>
          <w:tcPr>
            <w:tcW w:w="1882"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widowControl/>
              <w:spacing w:after="90" w:afterAutospacing="0" w:line="360" w:lineRule="exact"/>
              <w:jc w:val="center"/>
              <w:rPr>
                <w:rFonts w:hint="eastAsia" w:ascii="微软雅黑" w:hAnsi="微软雅黑" w:eastAsia="微软雅黑" w:cs="微软雅黑"/>
                <w:sz w:val="21"/>
                <w:szCs w:val="21"/>
                <w:lang w:val="en-US" w:eastAsia="zh-Hans"/>
              </w:rPr>
            </w:pPr>
            <w:r>
              <w:rPr>
                <w:rFonts w:hint="eastAsia" w:ascii="微软雅黑" w:hAnsi="微软雅黑" w:eastAsia="微软雅黑" w:cs="微软雅黑"/>
                <w:sz w:val="21"/>
                <w:szCs w:val="21"/>
                <w:lang w:val="en-US" w:eastAsia="zh-Hans"/>
              </w:rPr>
              <w:t>计算题</w:t>
            </w:r>
          </w:p>
        </w:tc>
        <w:tc>
          <w:tcPr>
            <w:tcW w:w="1840"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widowControl/>
              <w:spacing w:after="90" w:afterAutospacing="0" w:line="36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6" w:hRule="atLeast"/>
        </w:trPr>
        <w:tc>
          <w:tcPr>
            <w:tcW w:w="1277"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eastAsia" w:ascii="微软雅黑" w:hAnsi="微软雅黑" w:eastAsia="微软雅黑" w:cs="微软雅黑"/>
                <w:sz w:val="21"/>
                <w:szCs w:val="21"/>
              </w:rPr>
            </w:pPr>
          </w:p>
        </w:tc>
        <w:tc>
          <w:tcPr>
            <w:tcW w:w="1882"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widowControl/>
              <w:spacing w:after="90" w:afterAutospacing="0" w:line="360" w:lineRule="exact"/>
              <w:jc w:val="center"/>
              <w:rPr>
                <w:rFonts w:hint="eastAsia" w:ascii="微软雅黑" w:hAnsi="微软雅黑" w:eastAsia="微软雅黑" w:cs="微软雅黑"/>
                <w:sz w:val="21"/>
                <w:szCs w:val="21"/>
                <w:lang w:val="en-US" w:eastAsia="zh-Hans"/>
              </w:rPr>
            </w:pPr>
            <w:r>
              <w:rPr>
                <w:rFonts w:hint="eastAsia" w:ascii="微软雅黑" w:hAnsi="微软雅黑" w:eastAsia="微软雅黑" w:cs="微软雅黑"/>
                <w:sz w:val="21"/>
                <w:szCs w:val="21"/>
                <w:lang w:val="en-US" w:eastAsia="zh-Hans"/>
              </w:rPr>
              <w:t>论述或案例分析</w:t>
            </w:r>
          </w:p>
        </w:tc>
        <w:tc>
          <w:tcPr>
            <w:tcW w:w="1840"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widowControl/>
              <w:spacing w:after="90" w:afterAutospacing="0" w:line="36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9" w:hRule="atLeast"/>
        </w:trPr>
        <w:tc>
          <w:tcPr>
            <w:tcW w:w="3159" w:type="pct"/>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default" w:ascii="微软雅黑" w:hAnsi="微软雅黑" w:eastAsia="微软雅黑" w:cs="微软雅黑"/>
                <w:sz w:val="21"/>
                <w:szCs w:val="21"/>
                <w:lang w:val="en-US" w:eastAsia="zh-Hans"/>
              </w:rPr>
            </w:pPr>
            <w:r>
              <w:rPr>
                <w:rFonts w:hint="eastAsia" w:ascii="微软雅黑" w:hAnsi="微软雅黑" w:eastAsia="微软雅黑" w:cs="微软雅黑"/>
                <w:sz w:val="21"/>
                <w:szCs w:val="21"/>
                <w:lang w:val="en-US" w:eastAsia="zh-Hans"/>
              </w:rPr>
              <w:t>小计</w:t>
            </w:r>
          </w:p>
        </w:tc>
        <w:tc>
          <w:tcPr>
            <w:tcW w:w="1840"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widowControl/>
              <w:spacing w:after="90" w:afterAutospacing="0" w:line="360" w:lineRule="exact"/>
              <w:jc w:val="center"/>
              <w:rPr>
                <w:rFonts w:hint="default" w:ascii="微软雅黑" w:hAnsi="微软雅黑" w:eastAsia="微软雅黑" w:cs="微软雅黑"/>
                <w:sz w:val="21"/>
                <w:szCs w:val="21"/>
                <w:lang w:eastAsia="zh-Hans"/>
              </w:rPr>
            </w:pPr>
            <w:r>
              <w:rPr>
                <w:rFonts w:hint="default" w:ascii="微软雅黑" w:hAnsi="微软雅黑" w:eastAsia="微软雅黑" w:cs="微软雅黑"/>
                <w:sz w:val="21"/>
                <w:szCs w:val="21"/>
                <w:lang w:eastAsia="zh-CN"/>
              </w:rPr>
              <w:t>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3159" w:type="pct"/>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hint="eastAsia" w:ascii="微软雅黑" w:hAnsi="微软雅黑" w:eastAsia="微软雅黑" w:cs="微软雅黑"/>
                <w:sz w:val="21"/>
                <w:szCs w:val="21"/>
                <w:lang w:val="en-US" w:eastAsia="zh-Hans"/>
              </w:rPr>
            </w:pPr>
            <w:r>
              <w:rPr>
                <w:rFonts w:hint="eastAsia" w:ascii="微软雅黑" w:hAnsi="微软雅黑" w:eastAsia="微软雅黑" w:cs="微软雅黑"/>
                <w:sz w:val="21"/>
                <w:szCs w:val="21"/>
                <w:lang w:val="en-US" w:eastAsia="zh-Hans"/>
              </w:rPr>
              <w:t>合计</w:t>
            </w:r>
          </w:p>
        </w:tc>
        <w:tc>
          <w:tcPr>
            <w:tcW w:w="1840"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5"/>
              <w:widowControl/>
              <w:spacing w:after="90" w:afterAutospacing="0" w:line="360" w:lineRule="exact"/>
              <w:jc w:val="center"/>
              <w:rPr>
                <w:rFonts w:hint="default" w:ascii="微软雅黑" w:hAnsi="微软雅黑" w:eastAsia="微软雅黑" w:cs="微软雅黑"/>
                <w:sz w:val="21"/>
                <w:szCs w:val="21"/>
                <w:lang w:eastAsia="zh-Hans"/>
              </w:rPr>
            </w:pPr>
            <w:r>
              <w:rPr>
                <w:rFonts w:hint="default" w:ascii="微软雅黑" w:hAnsi="微软雅黑" w:eastAsia="微软雅黑" w:cs="微软雅黑"/>
                <w:sz w:val="21"/>
                <w:szCs w:val="21"/>
                <w:lang w:eastAsia="zh-Hans"/>
              </w:rPr>
              <w:t>100</w:t>
            </w:r>
          </w:p>
        </w:tc>
      </w:tr>
    </w:tbl>
    <w:p>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pPr>
        <w:pStyle w:val="5"/>
        <w:widowControl/>
        <w:shd w:val="clear" w:color="auto" w:fill="FFFFFF"/>
        <w:spacing w:after="90" w:afterAutospacing="0" w:line="360" w:lineRule="exact"/>
        <w:rPr>
          <w:rFonts w:hint="eastAsia" w:ascii="微软雅黑" w:hAnsi="微软雅黑" w:eastAsia="微软雅黑" w:cs="微软雅黑"/>
          <w:sz w:val="21"/>
          <w:szCs w:val="21"/>
          <w:shd w:val="clear" w:color="auto" w:fill="FFFFFF"/>
        </w:rPr>
      </w:pPr>
    </w:p>
    <w:p>
      <w:pPr>
        <w:pStyle w:val="5"/>
        <w:widowControl/>
        <w:shd w:val="clear" w:color="auto" w:fill="FFFFFF"/>
        <w:spacing w:after="90" w:afterAutospacing="0" w:line="360" w:lineRule="exact"/>
        <w:rPr>
          <w:rFonts w:hint="eastAsia" w:ascii="微软雅黑" w:hAnsi="微软雅黑" w:eastAsia="微软雅黑" w:cs="微软雅黑"/>
          <w:sz w:val="21"/>
          <w:szCs w:val="21"/>
          <w:shd w:val="clear" w:color="auto" w:fill="FFFFFF"/>
        </w:rPr>
      </w:pPr>
    </w:p>
    <w:p>
      <w:pPr>
        <w:pStyle w:val="5"/>
        <w:widowControl/>
        <w:shd w:val="clear" w:color="auto" w:fill="FFFFFF"/>
        <w:spacing w:after="90" w:afterAutospacing="0" w:line="360" w:lineRule="exact"/>
        <w:rPr>
          <w:rFonts w:hint="eastAsia" w:ascii="微软雅黑" w:hAnsi="微软雅黑" w:eastAsia="微软雅黑" w:cs="微软雅黑"/>
          <w:sz w:val="21"/>
          <w:szCs w:val="21"/>
          <w:shd w:val="clear" w:color="auto" w:fill="FFFFFF"/>
        </w:rPr>
      </w:pPr>
    </w:p>
    <w:p>
      <w:pPr>
        <w:pStyle w:val="5"/>
        <w:widowControl/>
        <w:shd w:val="clear" w:color="auto" w:fill="FFFFFF"/>
        <w:spacing w:after="90" w:afterAutospacing="0" w:line="360" w:lineRule="exact"/>
        <w:rPr>
          <w:rFonts w:hint="eastAsia" w:ascii="微软雅黑" w:hAnsi="微软雅黑" w:eastAsia="微软雅黑" w:cs="微软雅黑"/>
          <w:sz w:val="21"/>
          <w:szCs w:val="21"/>
          <w:shd w:val="clear" w:color="auto" w:fill="FFFFFF"/>
        </w:rPr>
      </w:pPr>
    </w:p>
    <w:p>
      <w:pPr>
        <w:pStyle w:val="5"/>
        <w:widowControl/>
        <w:shd w:val="clear" w:color="auto" w:fill="FFFFFF"/>
        <w:spacing w:after="90" w:afterAutospacing="0" w:line="360" w:lineRule="exact"/>
        <w:rPr>
          <w:rFonts w:hint="eastAsia" w:ascii="微软雅黑" w:hAnsi="微软雅黑" w:eastAsia="微软雅黑" w:cs="微软雅黑"/>
          <w:sz w:val="21"/>
          <w:szCs w:val="21"/>
          <w:shd w:val="clear" w:color="auto" w:fill="FFFFFF"/>
        </w:rPr>
      </w:pPr>
    </w:p>
    <w:p>
      <w:pPr>
        <w:pStyle w:val="5"/>
        <w:widowControl/>
        <w:shd w:val="clear" w:color="auto" w:fill="FFFFFF"/>
        <w:spacing w:after="90" w:afterAutospacing="0" w:line="360" w:lineRule="exact"/>
        <w:rPr>
          <w:rFonts w:hint="eastAsia" w:ascii="微软雅黑" w:hAnsi="微软雅黑" w:eastAsia="微软雅黑" w:cs="微软雅黑"/>
          <w:sz w:val="21"/>
          <w:szCs w:val="21"/>
          <w:shd w:val="clear" w:color="auto" w:fill="FFFFFF"/>
        </w:rPr>
      </w:pPr>
    </w:p>
    <w:p>
      <w:pPr>
        <w:pStyle w:val="5"/>
        <w:widowControl/>
        <w:shd w:val="clear" w:color="auto" w:fill="FFFFFF"/>
        <w:spacing w:after="90" w:afterAutospacing="0" w:line="360" w:lineRule="exact"/>
        <w:rPr>
          <w:rFonts w:hint="eastAsia" w:ascii="微软雅黑" w:hAnsi="微软雅黑" w:eastAsia="微软雅黑" w:cs="微软雅黑"/>
          <w:sz w:val="21"/>
          <w:szCs w:val="21"/>
          <w:shd w:val="clear" w:color="auto" w:fill="FFFFFF"/>
        </w:rPr>
      </w:pPr>
    </w:p>
    <w:p>
      <w:pPr>
        <w:pStyle w:val="5"/>
        <w:widowControl/>
        <w:shd w:val="clear" w:color="auto" w:fill="FFFFFF"/>
        <w:spacing w:after="90" w:afterAutospacing="0" w:line="360" w:lineRule="exact"/>
        <w:rPr>
          <w:rFonts w:hint="eastAsia" w:ascii="微软雅黑" w:hAnsi="微软雅黑" w:eastAsia="微软雅黑" w:cs="微软雅黑"/>
          <w:sz w:val="21"/>
          <w:szCs w:val="21"/>
          <w:shd w:val="clear" w:color="auto" w:fill="FFFFFF"/>
        </w:rPr>
      </w:pPr>
    </w:p>
    <w:p>
      <w:pPr>
        <w:pStyle w:val="5"/>
        <w:widowControl/>
        <w:shd w:val="clear" w:color="auto" w:fill="FFFFFF"/>
        <w:spacing w:after="90" w:afterAutospacing="0" w:line="360" w:lineRule="exact"/>
        <w:rPr>
          <w:rFonts w:hint="eastAsia" w:ascii="微软雅黑" w:hAnsi="微软雅黑" w:eastAsia="微软雅黑" w:cs="微软雅黑"/>
          <w:sz w:val="21"/>
          <w:szCs w:val="21"/>
          <w:shd w:val="clear" w:color="auto" w:fill="FFFFFF"/>
        </w:rPr>
      </w:pPr>
    </w:p>
    <w:p>
      <w:pPr>
        <w:pStyle w:val="5"/>
        <w:widowControl/>
        <w:shd w:val="clear" w:color="auto" w:fill="FFFFFF"/>
        <w:spacing w:after="90" w:afterAutospacing="0" w:line="360" w:lineRule="exact"/>
        <w:rPr>
          <w:rFonts w:hint="eastAsia" w:ascii="微软雅黑" w:hAnsi="微软雅黑" w:eastAsia="微软雅黑" w:cs="微软雅黑"/>
          <w:sz w:val="21"/>
          <w:szCs w:val="21"/>
          <w:shd w:val="clear" w:color="auto" w:fill="FFFFFF"/>
        </w:rPr>
      </w:pPr>
    </w:p>
    <w:p>
      <w:pPr>
        <w:pStyle w:val="5"/>
        <w:widowControl/>
        <w:shd w:val="clear" w:color="auto" w:fill="FFFFFF"/>
        <w:spacing w:after="90" w:afterAutospacing="0" w:line="360" w:lineRule="exact"/>
        <w:rPr>
          <w:rFonts w:hint="eastAsia" w:ascii="微软雅黑" w:hAnsi="微软雅黑" w:eastAsia="微软雅黑" w:cs="微软雅黑"/>
          <w:sz w:val="21"/>
          <w:szCs w:val="21"/>
          <w:shd w:val="clear" w:color="auto" w:fill="FFFFFF"/>
        </w:rPr>
      </w:pPr>
    </w:p>
    <w:p>
      <w:pPr>
        <w:pStyle w:val="5"/>
        <w:widowControl/>
        <w:shd w:val="clear" w:color="auto" w:fill="FFFFFF"/>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shd w:val="clear" w:color="auto" w:fill="FFFFFF"/>
        </w:rPr>
        <w:t>注：以上是每次考试的总体性要求，每份考卷的具体分值分布可以略有偏差。</w:t>
      </w:r>
    </w:p>
    <w:p>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四、考试内容和要求</w:t>
      </w:r>
    </w:p>
    <w:p>
      <w:pPr>
        <w:pStyle w:val="5"/>
        <w:widowControl/>
        <w:shd w:val="clear" w:color="auto" w:fill="FFFFFF"/>
        <w:spacing w:before="60" w:beforeAutospacing="0" w:afterAutospacing="0" w:line="360" w:lineRule="exact"/>
        <w:rPr>
          <w:rFonts w:hint="default" w:ascii="微软雅黑" w:hAnsi="微软雅黑" w:eastAsia="微软雅黑" w:cs="微软雅黑"/>
          <w:b/>
          <w:bCs/>
          <w:sz w:val="28"/>
          <w:szCs w:val="28"/>
          <w:shd w:val="clear" w:color="auto" w:fill="FFFFFF"/>
          <w:lang w:val="en-US" w:eastAsia="zh-Hans"/>
        </w:rPr>
      </w:pPr>
      <w:r>
        <w:rPr>
          <w:rFonts w:ascii="微软雅黑" w:hAnsi="微软雅黑" w:eastAsia="微软雅黑" w:cs="微软雅黑"/>
          <w:b/>
          <w:bCs/>
          <w:sz w:val="28"/>
          <w:szCs w:val="28"/>
          <w:shd w:val="clear" w:color="auto" w:fill="FFFFFF"/>
        </w:rPr>
        <w:t>（</w:t>
      </w:r>
      <w:r>
        <w:rPr>
          <w:rFonts w:hint="eastAsia" w:ascii="微软雅黑" w:hAnsi="微软雅黑" w:eastAsia="微软雅黑" w:cs="微软雅黑"/>
          <w:b/>
          <w:bCs/>
          <w:sz w:val="28"/>
          <w:szCs w:val="28"/>
          <w:shd w:val="clear" w:color="auto" w:fill="FFFFFF"/>
          <w:lang w:val="en-US" w:eastAsia="zh-Hans"/>
        </w:rPr>
        <w:t>一</w:t>
      </w:r>
      <w:r>
        <w:rPr>
          <w:rFonts w:ascii="微软雅黑" w:hAnsi="微软雅黑" w:eastAsia="微软雅黑" w:cs="微软雅黑"/>
          <w:b/>
          <w:bCs/>
          <w:sz w:val="28"/>
          <w:szCs w:val="28"/>
          <w:shd w:val="clear" w:color="auto" w:fill="FFFFFF"/>
        </w:rPr>
        <w:t>）</w:t>
      </w:r>
      <w:r>
        <w:rPr>
          <w:rFonts w:hint="eastAsia" w:ascii="微软雅黑" w:hAnsi="微软雅黑" w:eastAsia="微软雅黑" w:cs="微软雅黑"/>
          <w:b/>
          <w:bCs/>
          <w:sz w:val="28"/>
          <w:szCs w:val="28"/>
          <w:shd w:val="clear" w:color="auto" w:fill="FFFFFF"/>
          <w:lang w:val="en-US" w:eastAsia="zh-Hans"/>
        </w:rPr>
        <w:t>微观经济学</w:t>
      </w:r>
    </w:p>
    <w:tbl>
      <w:tblPr>
        <w:tblStyle w:val="6"/>
        <w:tblW w:w="85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812"/>
        <w:gridCol w:w="4691"/>
        <w:gridCol w:w="10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知识点</w:t>
            </w:r>
          </w:p>
        </w:tc>
        <w:tc>
          <w:tcPr>
            <w:tcW w:w="4691"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范围</w:t>
            </w:r>
          </w:p>
        </w:tc>
        <w:tc>
          <w:tcPr>
            <w:tcW w:w="1013"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516"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第一章：需求、供给及均衡价格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1" w:hRule="atLeast"/>
        </w:trPr>
        <w:tc>
          <w:tcPr>
            <w:tcW w:w="2812" w:type="dxa"/>
            <w:vMerge w:val="restart"/>
            <w:tcBorders>
              <w:top w:val="nil"/>
              <w:left w:val="single" w:color="000000" w:sz="6" w:space="0"/>
              <w:right w:val="single" w:color="000000" w:sz="6" w:space="0"/>
            </w:tcBorders>
            <w:shd w:val="clear" w:color="auto" w:fill="FFFFFF"/>
            <w:tcMar>
              <w:left w:w="105" w:type="dxa"/>
              <w:right w:w="105" w:type="dxa"/>
            </w:tcMar>
            <w:vAlign w:val="center"/>
          </w:tcPr>
          <w:p>
            <w:pPr>
              <w:spacing w:line="288" w:lineRule="auto"/>
              <w:rPr>
                <w:rFonts w:ascii="微软雅黑" w:hAnsi="微软雅黑" w:eastAsia="微软雅黑" w:cs="微软雅黑"/>
                <w:kern w:val="0"/>
                <w:szCs w:val="21"/>
              </w:rPr>
            </w:pPr>
            <w:r>
              <w:rPr>
                <w:rFonts w:hint="eastAsia" w:ascii="微软雅黑" w:hAnsi="微软雅黑" w:eastAsia="微软雅黑" w:cs="微软雅黑"/>
                <w:kern w:val="0"/>
                <w:szCs w:val="21"/>
              </w:rPr>
              <w:t>（1）</w:t>
            </w:r>
            <w:r>
              <w:rPr>
                <w:rFonts w:ascii="微软雅黑" w:hAnsi="微软雅黑" w:eastAsia="微软雅黑" w:cs="微软雅黑"/>
                <w:kern w:val="0"/>
                <w:szCs w:val="21"/>
              </w:rPr>
              <w:t>需求理论</w:t>
            </w: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需求的定义，影响需求的因素</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1" w:hRule="atLeast"/>
        </w:trPr>
        <w:tc>
          <w:tcPr>
            <w:tcW w:w="2812" w:type="dxa"/>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pPr>
              <w:spacing w:line="288" w:lineRule="auto"/>
              <w:rPr>
                <w:rFonts w:ascii="微软雅黑" w:hAnsi="微软雅黑" w:eastAsia="微软雅黑" w:cs="微软雅黑"/>
                <w:kern w:val="0"/>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宋体"/>
                <w:color w:val="000000" w:themeColor="text1"/>
                <w:sz w:val="21"/>
                <w:szCs w:val="21"/>
                <w14:textFill>
                  <w14:solidFill>
                    <w14:schemeClr w14:val="tx1"/>
                  </w14:solidFill>
                </w14:textFill>
              </w:rPr>
              <w:t>需求函数、需求曲线、需求定理、</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0" w:hRule="atLeast"/>
        </w:trPr>
        <w:tc>
          <w:tcPr>
            <w:tcW w:w="2812" w:type="dxa"/>
            <w:vMerge w:val="restart"/>
            <w:tcBorders>
              <w:top w:val="nil"/>
              <w:left w:val="single" w:color="000000" w:sz="6" w:space="0"/>
              <w:right w:val="single" w:color="000000" w:sz="6" w:space="0"/>
            </w:tcBorders>
            <w:shd w:val="clear" w:color="auto" w:fill="FFFFFF"/>
            <w:tcMar>
              <w:left w:w="105" w:type="dxa"/>
              <w:right w:w="105" w:type="dxa"/>
            </w:tcMar>
            <w:vAlign w:val="center"/>
          </w:tcPr>
          <w:p>
            <w:pPr>
              <w:spacing w:line="288" w:lineRule="auto"/>
              <w:rPr>
                <w:rFonts w:ascii="微软雅黑" w:hAnsi="微软雅黑" w:eastAsia="微软雅黑" w:cs="微软雅黑"/>
                <w:kern w:val="0"/>
                <w:szCs w:val="21"/>
              </w:rPr>
            </w:pPr>
            <w:r>
              <w:rPr>
                <w:rFonts w:hint="eastAsia" w:ascii="微软雅黑" w:hAnsi="微软雅黑" w:eastAsia="微软雅黑" w:cs="微软雅黑"/>
                <w:kern w:val="0"/>
                <w:szCs w:val="21"/>
              </w:rPr>
              <w:t>（2）</w:t>
            </w:r>
            <w:r>
              <w:rPr>
                <w:rFonts w:ascii="微软雅黑" w:hAnsi="微软雅黑" w:eastAsia="微软雅黑" w:cs="微软雅黑"/>
                <w:kern w:val="0"/>
                <w:szCs w:val="21"/>
              </w:rPr>
              <w:t xml:space="preserve">供给理论 </w:t>
            </w: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宋体"/>
                <w:color w:val="000000" w:themeColor="text1"/>
                <w:sz w:val="21"/>
                <w:szCs w:val="21"/>
                <w14:textFill>
                  <w14:solidFill>
                    <w14:schemeClr w14:val="tx1"/>
                  </w14:solidFill>
                </w14:textFill>
              </w:rPr>
              <w:t>供给的定义，影响供给的因素</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0" w:hRule="atLeast"/>
        </w:trPr>
        <w:tc>
          <w:tcPr>
            <w:tcW w:w="2812" w:type="dxa"/>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pPr>
              <w:spacing w:line="288" w:lineRule="auto"/>
              <w:rPr>
                <w:rFonts w:ascii="微软雅黑" w:hAnsi="微软雅黑" w:eastAsia="微软雅黑" w:cs="微软雅黑"/>
                <w:kern w:val="0"/>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宋体"/>
                <w:color w:val="000000" w:themeColor="text1"/>
                <w:sz w:val="21"/>
                <w:szCs w:val="21"/>
                <w14:textFill>
                  <w14:solidFill>
                    <w14:schemeClr w14:val="tx1"/>
                  </w14:solidFill>
                </w14:textFill>
              </w:rPr>
              <w:t>供给函数、供给曲线、供给定理、</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0" w:hRule="atLeast"/>
        </w:trPr>
        <w:tc>
          <w:tcPr>
            <w:tcW w:w="2812"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spacing w:line="288" w:lineRule="auto"/>
              <w:rPr>
                <w:rFonts w:ascii="微软雅黑" w:hAnsi="微软雅黑" w:eastAsia="微软雅黑" w:cs="微软雅黑"/>
                <w:kern w:val="0"/>
                <w:szCs w:val="21"/>
              </w:rPr>
            </w:pPr>
            <w:r>
              <w:rPr>
                <w:rFonts w:hint="eastAsia" w:ascii="微软雅黑" w:hAnsi="微软雅黑" w:eastAsia="微软雅黑" w:cs="微软雅黑"/>
                <w:kern w:val="0"/>
                <w:szCs w:val="21"/>
              </w:rPr>
              <w:t>（3）</w:t>
            </w:r>
            <w:r>
              <w:rPr>
                <w:rFonts w:ascii="微软雅黑" w:hAnsi="微软雅黑" w:eastAsia="微软雅黑" w:cs="微软雅黑"/>
                <w:kern w:val="0"/>
                <w:szCs w:val="21"/>
              </w:rPr>
              <w:t>市场均衡</w:t>
            </w: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spacing w:line="288" w:lineRule="auto"/>
              <w:jc w:val="left"/>
              <w:rPr>
                <w:rFonts w:ascii="微软雅黑" w:hAnsi="微软雅黑" w:eastAsia="微软雅黑" w:cs="宋体"/>
                <w:color w:val="000000" w:themeColor="text1"/>
                <w:szCs w:val="21"/>
                <w14:textFill>
                  <w14:solidFill>
                    <w14:schemeClr w14:val="tx1"/>
                  </w14:solidFill>
                </w14:textFill>
              </w:rPr>
            </w:pPr>
            <w:r>
              <w:rPr>
                <w:rFonts w:hint="eastAsia" w:ascii="微软雅黑" w:hAnsi="微软雅黑" w:eastAsia="微软雅黑"/>
                <w:color w:val="000000"/>
                <w:szCs w:val="21"/>
              </w:rPr>
              <w:t>市场均衡的决定及其变动</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71" w:hRule="atLeast"/>
        </w:trPr>
        <w:tc>
          <w:tcPr>
            <w:tcW w:w="2812" w:type="dxa"/>
            <w:vMerge w:val="restart"/>
            <w:tcBorders>
              <w:top w:val="nil"/>
              <w:left w:val="single" w:color="000000" w:sz="6" w:space="0"/>
              <w:right w:val="single" w:color="000000" w:sz="6" w:space="0"/>
            </w:tcBorders>
            <w:shd w:val="clear" w:color="auto" w:fill="FFFFFF"/>
            <w:tcMar>
              <w:left w:w="105" w:type="dxa"/>
              <w:right w:w="105" w:type="dxa"/>
            </w:tcMar>
            <w:vAlign w:val="center"/>
          </w:tcPr>
          <w:p>
            <w:pPr>
              <w:spacing w:line="288" w:lineRule="auto"/>
              <w:rPr>
                <w:rFonts w:ascii="微软雅黑" w:hAnsi="微软雅黑" w:eastAsia="微软雅黑" w:cs="微软雅黑"/>
                <w:kern w:val="0"/>
                <w:szCs w:val="21"/>
              </w:rPr>
            </w:pPr>
            <w:r>
              <w:rPr>
                <w:rFonts w:hint="eastAsia" w:ascii="微软雅黑" w:hAnsi="微软雅黑" w:eastAsia="微软雅黑" w:cs="微软雅黑"/>
                <w:kern w:val="0"/>
                <w:szCs w:val="21"/>
              </w:rPr>
              <w:t>（4）</w:t>
            </w:r>
            <w:r>
              <w:rPr>
                <w:rFonts w:ascii="微软雅黑" w:hAnsi="微软雅黑" w:eastAsia="微软雅黑" w:cs="微软雅黑"/>
                <w:kern w:val="0"/>
                <w:szCs w:val="21"/>
              </w:rPr>
              <w:t>需求弹性与供给弹性</w:t>
            </w: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olor w:val="000000"/>
                <w:sz w:val="21"/>
                <w:szCs w:val="21"/>
              </w:rPr>
              <w:t>需求弹性的定义及计算、供给弹性的定义及计算</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continue"/>
            <w:tcBorders>
              <w:left w:val="single" w:color="000000" w:sz="6" w:space="0"/>
              <w:bottom w:val="single" w:color="000000" w:sz="6" w:space="0"/>
              <w:right w:val="single" w:color="000000" w:sz="6" w:space="0"/>
            </w:tcBorders>
            <w:shd w:val="clear" w:color="auto" w:fill="FFFFFF"/>
            <w:tcMar>
              <w:left w:w="105" w:type="dxa"/>
              <w:right w:w="105" w:type="dxa"/>
            </w:tcMar>
          </w:tcPr>
          <w:p>
            <w:pPr>
              <w:spacing w:line="288" w:lineRule="auto"/>
              <w:jc w:val="left"/>
              <w:rPr>
                <w:rFonts w:ascii="微软雅黑" w:hAnsi="微软雅黑" w:eastAsia="微软雅黑" w:cs="微软雅黑"/>
                <w:kern w:val="0"/>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宋体"/>
                <w:color w:val="000000" w:themeColor="text1"/>
                <w:sz w:val="21"/>
                <w:szCs w:val="21"/>
                <w14:textFill>
                  <w14:solidFill>
                    <w14:schemeClr w14:val="tx1"/>
                  </w14:solidFill>
                </w14:textFill>
              </w:rPr>
              <w:t>需求弹和供给弹性分析厂商销售收入和价格的关系、税负的转嫁</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37" w:hRule="atLeast"/>
        </w:trPr>
        <w:tc>
          <w:tcPr>
            <w:tcW w:w="2812"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ascii="微软雅黑" w:hAnsi="微软雅黑" w:eastAsia="微软雅黑" w:cs="微软雅黑"/>
                <w:kern w:val="0"/>
                <w:szCs w:val="21"/>
              </w:rPr>
            </w:pPr>
            <w:r>
              <w:rPr>
                <w:rFonts w:hint="eastAsia" w:ascii="微软雅黑" w:hAnsi="微软雅黑" w:eastAsia="微软雅黑" w:cs="微软雅黑"/>
                <w:kern w:val="0"/>
                <w:szCs w:val="21"/>
              </w:rPr>
              <w:t>（5）需求、供给和均衡价格的运用</w:t>
            </w: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宋体"/>
                <w:color w:val="000000" w:themeColor="text1"/>
                <w:sz w:val="21"/>
                <w:szCs w:val="21"/>
                <w14:textFill>
                  <w14:solidFill>
                    <w14:schemeClr w14:val="tx1"/>
                  </w14:solidFill>
                </w14:textFill>
              </w:rPr>
            </w:pPr>
            <w:r>
              <w:rPr>
                <w:rFonts w:hint="eastAsia" w:ascii="微软雅黑" w:hAnsi="微软雅黑" w:eastAsia="微软雅黑" w:cs="宋体"/>
                <w:color w:val="000000" w:themeColor="text1"/>
                <w:sz w:val="21"/>
                <w:szCs w:val="21"/>
                <w14:textFill>
                  <w14:solidFill>
                    <w14:schemeClr w14:val="tx1"/>
                  </w14:solidFill>
                </w14:textFill>
              </w:rPr>
              <w:t>运用市场均衡理论和弹性理论分析税收效应、支持价格和限制价格政策</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516"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第二章：消费者选择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restart"/>
            <w:tcBorders>
              <w:top w:val="nil"/>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（1）效用论</w:t>
            </w: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spacing w:line="288" w:lineRule="auto"/>
              <w:jc w:val="left"/>
              <w:rPr>
                <w:rFonts w:ascii="微软雅黑" w:hAnsi="微软雅黑" w:eastAsia="微软雅黑" w:cs="微软雅黑"/>
                <w:szCs w:val="21"/>
              </w:rPr>
            </w:pPr>
            <w:r>
              <w:rPr>
                <w:rFonts w:hint="eastAsia" w:ascii="微软雅黑" w:hAnsi="微软雅黑" w:eastAsia="微软雅黑" w:cs="宋体"/>
                <w:color w:val="000000" w:themeColor="text1"/>
                <w:kern w:val="0"/>
                <w:szCs w:val="21"/>
                <w14:textFill>
                  <w14:solidFill>
                    <w14:schemeClr w14:val="tx1"/>
                  </w14:solidFill>
                </w14:textFill>
              </w:rPr>
              <w:t>效用</w:t>
            </w:r>
            <w:r>
              <w:rPr>
                <w:rFonts w:ascii="微软雅黑" w:hAnsi="微软雅黑" w:eastAsia="微软雅黑"/>
                <w:color w:val="000000"/>
                <w:kern w:val="0"/>
                <w:szCs w:val="21"/>
              </w:rPr>
              <w:t>与边际效用</w:t>
            </w:r>
            <w:r>
              <w:rPr>
                <w:rFonts w:hint="eastAsia" w:ascii="微软雅黑" w:hAnsi="微软雅黑" w:eastAsia="微软雅黑"/>
                <w:color w:val="000000"/>
                <w:kern w:val="0"/>
                <w:szCs w:val="21"/>
              </w:rPr>
              <w:t>的定义</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continue"/>
            <w:tcBorders>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spacing w:line="288" w:lineRule="auto"/>
              <w:jc w:val="left"/>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边际效用递减理论</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spacing w:line="288" w:lineRule="auto"/>
              <w:jc w:val="left"/>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基数效用论下和序数效用论下的消费者均衡条件</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（2）无差异曲线</w:t>
            </w: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无差异曲线的含义及特点</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41" w:hRule="atLeast"/>
        </w:trPr>
        <w:tc>
          <w:tcPr>
            <w:tcW w:w="2812" w:type="dxa"/>
            <w:vMerge w:val="restart"/>
            <w:tcBorders>
              <w:top w:val="nil"/>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（3）效用最大化与消费者选择</w:t>
            </w: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预算线的含义</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5" w:hRule="atLeast"/>
        </w:trPr>
        <w:tc>
          <w:tcPr>
            <w:tcW w:w="2812" w:type="dxa"/>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ind w:firstLine="210"/>
              <w:rPr>
                <w:rFonts w:ascii="微软雅黑" w:hAnsi="微软雅黑" w:eastAsia="微软雅黑" w:cs="微软雅黑"/>
                <w:sz w:val="21"/>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无差异曲线和收入预算线消费者如何达到效用最大化</w:t>
            </w:r>
          </w:p>
        </w:tc>
        <w:tc>
          <w:tcPr>
            <w:tcW w:w="1013"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516"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第三章：生产和成本理论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restart"/>
            <w:tcBorders>
              <w:top w:val="nil"/>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（1）生产技术</w:t>
            </w: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厂商、生产、</w:t>
            </w:r>
            <w:r>
              <w:rPr>
                <w:rFonts w:hint="eastAsia" w:ascii="微软雅黑" w:hAnsi="微软雅黑" w:eastAsia="微软雅黑"/>
                <w:color w:val="000000" w:themeColor="text1"/>
                <w:sz w:val="21"/>
                <w:szCs w:val="21"/>
                <w14:textFill>
                  <w14:solidFill>
                    <w14:schemeClr w14:val="tx1"/>
                  </w14:solidFill>
                </w14:textFill>
              </w:rPr>
              <w:t>边际技术替代率</w:t>
            </w:r>
            <w:r>
              <w:rPr>
                <w:rFonts w:hint="eastAsia" w:ascii="微软雅黑" w:hAnsi="微软雅黑" w:eastAsia="微软雅黑" w:cs="微软雅黑"/>
                <w:sz w:val="21"/>
                <w:szCs w:val="21"/>
              </w:rPr>
              <w:t>的基本概念</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continue"/>
            <w:tcBorders>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短期生产函数、</w:t>
            </w:r>
            <w:r>
              <w:rPr>
                <w:rFonts w:ascii="微软雅黑" w:hAnsi="微软雅黑" w:eastAsia="微软雅黑"/>
                <w:sz w:val="21"/>
                <w:szCs w:val="21"/>
              </w:rPr>
              <w:t>长期生产函数</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09" w:hRule="atLeast"/>
        </w:trPr>
        <w:tc>
          <w:tcPr>
            <w:tcW w:w="2812" w:type="dxa"/>
            <w:vMerge w:val="continue"/>
            <w:tcBorders>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spacing w:line="288" w:lineRule="auto"/>
              <w:jc w:val="left"/>
              <w:rPr>
                <w:rFonts w:ascii="微软雅黑" w:hAnsi="微软雅黑" w:eastAsia="微软雅黑"/>
                <w:szCs w:val="21"/>
              </w:rPr>
            </w:pPr>
            <w:r>
              <w:rPr>
                <w:rFonts w:hint="eastAsia" w:ascii="微软雅黑" w:hAnsi="微软雅黑" w:eastAsia="微软雅黑" w:cs="宋体"/>
                <w:color w:val="000000" w:themeColor="text1"/>
                <w:kern w:val="0"/>
                <w:szCs w:val="21"/>
                <w14:textFill>
                  <w14:solidFill>
                    <w14:schemeClr w14:val="tx1"/>
                  </w14:solidFill>
                </w14:textFill>
              </w:rPr>
              <w:t>运用</w:t>
            </w:r>
            <w:r>
              <w:rPr>
                <w:rFonts w:hint="eastAsia" w:ascii="微软雅黑" w:hAnsi="微软雅黑" w:eastAsia="微软雅黑"/>
                <w:color w:val="000000" w:themeColor="text1"/>
                <w:szCs w:val="21"/>
                <w14:textFill>
                  <w14:solidFill>
                    <w14:schemeClr w14:val="tx1"/>
                  </w14:solidFill>
                </w14:textFill>
              </w:rPr>
              <w:t>短期生产函数分析理性厂商的选择</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spacing w:line="288" w:lineRule="auto"/>
              <w:jc w:val="left"/>
              <w:rPr>
                <w:rFonts w:ascii="微软雅黑" w:hAnsi="微软雅黑" w:eastAsia="微软雅黑" w:cs="微软雅黑"/>
                <w:szCs w:val="21"/>
              </w:rPr>
            </w:pPr>
            <w:r>
              <w:rPr>
                <w:rFonts w:hint="eastAsia" w:ascii="微软雅黑" w:hAnsi="微软雅黑" w:eastAsia="微软雅黑" w:cs="宋体"/>
                <w:color w:val="000000" w:themeColor="text1"/>
                <w:kern w:val="0"/>
                <w:szCs w:val="21"/>
                <w14:textFill>
                  <w14:solidFill>
                    <w14:schemeClr w14:val="tx1"/>
                  </w14:solidFill>
                </w14:textFill>
              </w:rPr>
              <w:t>运用</w:t>
            </w:r>
            <w:r>
              <w:rPr>
                <w:rFonts w:hint="eastAsia" w:ascii="微软雅黑" w:hAnsi="微软雅黑" w:eastAsia="微软雅黑"/>
                <w:color w:val="000000" w:themeColor="text1"/>
                <w:szCs w:val="21"/>
                <w14:textFill>
                  <w14:solidFill>
                    <w14:schemeClr w14:val="tx1"/>
                  </w14:solidFill>
                </w14:textFill>
              </w:rPr>
              <w:t>长期生产函数分析生产要素的最优组合</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restart"/>
            <w:tcBorders>
              <w:top w:val="nil"/>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（2）成本</w:t>
            </w: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成本的基本概念及分类</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continue"/>
            <w:tcBorders>
              <w:left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等成本线、成本最小化、产量最大化</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continue"/>
            <w:tcBorders>
              <w:left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sz w:val="21"/>
                <w:szCs w:val="21"/>
              </w:rPr>
            </w:pPr>
            <w:r>
              <w:rPr>
                <w:rFonts w:ascii="微软雅黑" w:hAnsi="微软雅黑" w:eastAsia="微软雅黑" w:cs="宋体"/>
                <w:color w:val="000000" w:themeColor="text1"/>
                <w:sz w:val="21"/>
                <w:szCs w:val="21"/>
                <w14:textFill>
                  <w14:solidFill>
                    <w14:schemeClr w14:val="tx1"/>
                  </w14:solidFill>
                </w14:textFill>
              </w:rPr>
              <w:t>综合等产量线和等成本线得到生产者均衡</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continue"/>
            <w:tcBorders>
              <w:left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ascii="微软雅黑" w:hAnsi="微软雅黑" w:eastAsia="微软雅黑"/>
                <w:sz w:val="21"/>
                <w:szCs w:val="21"/>
              </w:rPr>
              <w:t>短期成本</w:t>
            </w:r>
            <w:r>
              <w:rPr>
                <w:rFonts w:hint="eastAsia" w:ascii="微软雅黑" w:hAnsi="微软雅黑" w:eastAsia="微软雅黑"/>
                <w:sz w:val="21"/>
                <w:szCs w:val="21"/>
              </w:rPr>
              <w:t>的分类、长期成本的概念</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continue"/>
            <w:tcBorders>
              <w:left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sz w:val="21"/>
                <w:szCs w:val="21"/>
              </w:rPr>
              <w:t>短期成本曲线之间的关系</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2812" w:type="dxa"/>
            <w:vMerge w:val="continue"/>
            <w:tcBorders>
              <w:left w:val="single" w:color="000000" w:sz="6" w:space="0"/>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spacing w:line="288" w:lineRule="auto"/>
              <w:jc w:val="left"/>
              <w:rPr>
                <w:rFonts w:ascii="微软雅黑" w:hAnsi="微软雅黑" w:eastAsia="微软雅黑" w:cs="微软雅黑"/>
                <w:szCs w:val="21"/>
              </w:rPr>
            </w:pPr>
            <w:r>
              <w:rPr>
                <w:rFonts w:hint="eastAsia" w:ascii="微软雅黑" w:hAnsi="微软雅黑" w:eastAsia="微软雅黑"/>
                <w:szCs w:val="21"/>
              </w:rPr>
              <w:t>规模经济和长期平均成本曲线的形状</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516"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第四章：完全竞争市场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tcBorders>
              <w:top w:val="nil"/>
              <w:left w:val="single" w:color="000000" w:sz="6" w:space="0"/>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（1）厂商和市场的类型</w:t>
            </w:r>
            <w:r>
              <w:rPr>
                <w:rFonts w:ascii="微软雅黑" w:hAnsi="微软雅黑" w:eastAsia="微软雅黑" w:cs="微软雅黑"/>
                <w:sz w:val="21"/>
                <w:szCs w:val="21"/>
              </w:rPr>
              <w:t xml:space="preserve"> </w:t>
            </w: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市场的类型</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restart"/>
            <w:tcBorders>
              <w:top w:val="nil"/>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（2）利润最大化</w:t>
            </w: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完全竞争市场的条件</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continue"/>
            <w:tcBorders>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ind w:firstLine="15"/>
              <w:rPr>
                <w:rFonts w:ascii="微软雅黑" w:hAnsi="微软雅黑" w:eastAsia="微软雅黑" w:cs="微软雅黑"/>
                <w:sz w:val="21"/>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完全竞争厂商的需求曲线和收益曲线</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ind w:firstLine="15"/>
              <w:rPr>
                <w:rFonts w:ascii="微软雅黑" w:hAnsi="微软雅黑" w:eastAsia="微软雅黑" w:cs="微软雅黑"/>
                <w:sz w:val="21"/>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完全竞争厂商实现利润最大化的均衡原则</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ind w:firstLine="15"/>
              <w:rPr>
                <w:rFonts w:ascii="微软雅黑" w:hAnsi="微软雅黑" w:eastAsia="微软雅黑" w:cs="微软雅黑"/>
                <w:sz w:val="21"/>
                <w:szCs w:val="21"/>
              </w:rPr>
            </w:pPr>
            <w:r>
              <w:rPr>
                <w:rFonts w:hint="eastAsia" w:ascii="微软雅黑" w:hAnsi="微软雅黑" w:eastAsia="微软雅黑" w:cs="微软雅黑"/>
                <w:sz w:val="21"/>
                <w:szCs w:val="21"/>
              </w:rPr>
              <w:t>（3）完全竞争市场短期均衡和长期均衡</w:t>
            </w: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完全竞争市场短期均衡条件和完全竞争市场长期均衡条件</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516" w:type="dxa"/>
            <w:gridSpan w:val="3"/>
            <w:tcBorders>
              <w:top w:val="nil"/>
              <w:left w:val="single" w:color="000000" w:sz="6" w:space="0"/>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第五章：不完全竞争的市场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restart"/>
            <w:tcBorders>
              <w:top w:val="nil"/>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（1）垄断</w:t>
            </w: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ascii="微软雅黑" w:hAnsi="微软雅黑" w:eastAsia="微软雅黑"/>
                <w:sz w:val="21"/>
                <w:szCs w:val="21"/>
              </w:rPr>
              <w:t>垄断市场</w:t>
            </w:r>
            <w:r>
              <w:rPr>
                <w:rFonts w:hint="eastAsia" w:ascii="微软雅黑" w:hAnsi="微软雅黑" w:eastAsia="微软雅黑"/>
                <w:sz w:val="21"/>
                <w:szCs w:val="21"/>
              </w:rPr>
              <w:t>条件</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812" w:type="dxa"/>
            <w:vMerge w:val="continue"/>
            <w:tcBorders>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sz w:val="21"/>
                <w:szCs w:val="21"/>
              </w:rPr>
            </w:pPr>
            <w:r>
              <w:rPr>
                <w:rFonts w:hint="eastAsia" w:ascii="微软雅黑" w:hAnsi="微软雅黑" w:eastAsia="微软雅黑"/>
                <w:sz w:val="21"/>
                <w:szCs w:val="21"/>
              </w:rPr>
              <w:t>垄断厂商的需求曲线、收益曲线、供给曲线</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continue"/>
            <w:tcBorders>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ascii="微软雅黑" w:hAnsi="微软雅黑" w:eastAsia="微软雅黑"/>
                <w:sz w:val="21"/>
                <w:szCs w:val="21"/>
              </w:rPr>
              <w:t>垄断市场的短期均衡与长期均衡</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ascii="微软雅黑" w:hAnsi="微软雅黑" w:eastAsia="微软雅黑"/>
                <w:sz w:val="21"/>
                <w:szCs w:val="21"/>
              </w:rPr>
              <w:t>垄断厂商的价格歧视</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1" w:hRule="atLeast"/>
        </w:trPr>
        <w:tc>
          <w:tcPr>
            <w:tcW w:w="2812" w:type="dxa"/>
            <w:vMerge w:val="restart"/>
            <w:tcBorders>
              <w:top w:val="nil"/>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（2）垄断竞争</w:t>
            </w: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spacing w:line="288" w:lineRule="auto"/>
              <w:rPr>
                <w:rFonts w:ascii="微软雅黑" w:hAnsi="微软雅黑" w:eastAsia="微软雅黑" w:cs="微软雅黑"/>
                <w:szCs w:val="21"/>
              </w:rPr>
            </w:pPr>
            <w:r>
              <w:rPr>
                <w:rFonts w:ascii="微软雅黑" w:hAnsi="微软雅黑" w:eastAsia="微软雅黑"/>
                <w:kern w:val="0"/>
                <w:szCs w:val="21"/>
              </w:rPr>
              <w:t>垄断竞争市场</w:t>
            </w:r>
            <w:r>
              <w:rPr>
                <w:rFonts w:hint="eastAsia" w:ascii="微软雅黑" w:hAnsi="微软雅黑" w:eastAsia="微软雅黑"/>
                <w:kern w:val="0"/>
                <w:szCs w:val="21"/>
              </w:rPr>
              <w:t>的条件</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trPr>
        <w:tc>
          <w:tcPr>
            <w:tcW w:w="2812" w:type="dxa"/>
            <w:vMerge w:val="continue"/>
            <w:tcBorders>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p>
        </w:tc>
        <w:tc>
          <w:tcPr>
            <w:tcW w:w="4691" w:type="dxa"/>
            <w:tcBorders>
              <w:top w:val="nil"/>
              <w:left w:val="nil"/>
              <w:bottom w:val="single" w:color="000000" w:sz="6" w:space="0"/>
              <w:right w:val="single" w:color="000000" w:sz="6" w:space="0"/>
            </w:tcBorders>
            <w:shd w:val="clear" w:color="auto" w:fill="FFFFFF"/>
            <w:tcMar>
              <w:left w:w="105" w:type="dxa"/>
              <w:right w:w="105" w:type="dxa"/>
            </w:tcMar>
          </w:tcPr>
          <w:p>
            <w:pPr>
              <w:spacing w:line="288" w:lineRule="auto"/>
              <w:rPr>
                <w:rFonts w:ascii="微软雅黑" w:hAnsi="微软雅黑" w:eastAsia="微软雅黑"/>
                <w:kern w:val="0"/>
                <w:szCs w:val="21"/>
              </w:rPr>
            </w:pPr>
            <w:r>
              <w:rPr>
                <w:rFonts w:hint="eastAsia" w:ascii="微软雅黑" w:hAnsi="微软雅黑" w:eastAsia="微软雅黑"/>
                <w:kern w:val="0"/>
                <w:szCs w:val="21"/>
              </w:rPr>
              <w:t>垄断竞争厂商的需求曲线</w:t>
            </w:r>
          </w:p>
        </w:tc>
        <w:tc>
          <w:tcPr>
            <w:tcW w:w="1013" w:type="dxa"/>
            <w:tcBorders>
              <w:top w:val="nil"/>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continue"/>
            <w:tcBorders>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p>
        </w:tc>
        <w:tc>
          <w:tcPr>
            <w:tcW w:w="4691"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cs="微软雅黑"/>
                <w:sz w:val="21"/>
                <w:szCs w:val="21"/>
              </w:rPr>
            </w:pPr>
            <w:r>
              <w:rPr>
                <w:rFonts w:ascii="微软雅黑" w:hAnsi="微软雅黑" w:eastAsia="微软雅黑"/>
                <w:sz w:val="21"/>
                <w:szCs w:val="21"/>
              </w:rPr>
              <w:t>垄断竞争市场的短期均衡与长期均衡</w:t>
            </w:r>
          </w:p>
        </w:tc>
        <w:tc>
          <w:tcPr>
            <w:tcW w:w="1013"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p>
        </w:tc>
        <w:tc>
          <w:tcPr>
            <w:tcW w:w="4691"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sz w:val="21"/>
                <w:szCs w:val="21"/>
              </w:rPr>
            </w:pPr>
            <w:r>
              <w:rPr>
                <w:rFonts w:ascii="微软雅黑" w:hAnsi="微软雅黑" w:eastAsia="微软雅黑"/>
                <w:sz w:val="21"/>
                <w:szCs w:val="21"/>
              </w:rPr>
              <w:t>非价格竞争</w:t>
            </w:r>
          </w:p>
        </w:tc>
        <w:tc>
          <w:tcPr>
            <w:tcW w:w="1013"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（3）寡头</w:t>
            </w:r>
          </w:p>
        </w:tc>
        <w:tc>
          <w:tcPr>
            <w:tcW w:w="4691"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sz w:val="21"/>
                <w:szCs w:val="21"/>
              </w:rPr>
            </w:pPr>
            <w:r>
              <w:rPr>
                <w:rFonts w:hint="eastAsia" w:ascii="微软雅黑" w:hAnsi="微软雅黑" w:eastAsia="微软雅黑"/>
                <w:sz w:val="21"/>
                <w:szCs w:val="21"/>
              </w:rPr>
              <w:t>寡头市场的特征</w:t>
            </w:r>
          </w:p>
        </w:tc>
        <w:tc>
          <w:tcPr>
            <w:tcW w:w="1013"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47" w:hRule="atLeast"/>
        </w:trPr>
        <w:tc>
          <w:tcPr>
            <w:tcW w:w="2812" w:type="dxa"/>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p>
        </w:tc>
        <w:tc>
          <w:tcPr>
            <w:tcW w:w="4691"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sz w:val="21"/>
                <w:szCs w:val="21"/>
              </w:rPr>
            </w:pPr>
            <w:r>
              <w:rPr>
                <w:rFonts w:hint="eastAsia" w:ascii="微软雅黑" w:hAnsi="微软雅黑" w:eastAsia="微软雅黑"/>
                <w:sz w:val="21"/>
                <w:szCs w:val="21"/>
              </w:rPr>
              <w:t>古诺模型、斯塔克伯格模型、价格领导模型</w:t>
            </w:r>
          </w:p>
        </w:tc>
        <w:tc>
          <w:tcPr>
            <w:tcW w:w="1013"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（4）不同市场的比较</w:t>
            </w:r>
          </w:p>
        </w:tc>
        <w:tc>
          <w:tcPr>
            <w:tcW w:w="4691"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rPr>
                <w:rFonts w:ascii="微软雅黑" w:hAnsi="微软雅黑" w:eastAsia="微软雅黑"/>
                <w:sz w:val="21"/>
                <w:szCs w:val="21"/>
              </w:rPr>
            </w:pPr>
            <w:r>
              <w:rPr>
                <w:rFonts w:hint="eastAsia" w:ascii="微软雅黑" w:hAnsi="微软雅黑" w:eastAsia="微软雅黑" w:cs="微软雅黑"/>
                <w:sz w:val="21"/>
                <w:szCs w:val="21"/>
              </w:rPr>
              <w:t>不同市场的比较</w:t>
            </w:r>
          </w:p>
        </w:tc>
        <w:tc>
          <w:tcPr>
            <w:tcW w:w="1013"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516" w:type="dxa"/>
            <w:gridSpan w:val="3"/>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b/>
                <w:sz w:val="21"/>
                <w:szCs w:val="21"/>
              </w:rPr>
            </w:pPr>
            <w:r>
              <w:rPr>
                <w:rFonts w:hint="eastAsia" w:ascii="微软雅黑" w:hAnsi="微软雅黑" w:eastAsia="微软雅黑" w:cs="微软雅黑"/>
                <w:b/>
                <w:sz w:val="21"/>
                <w:szCs w:val="21"/>
              </w:rPr>
              <w:t>第六章：生产要素价格的决定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（1）要素需求和供给</w:t>
            </w:r>
          </w:p>
        </w:tc>
        <w:tc>
          <w:tcPr>
            <w:tcW w:w="4691"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spacing w:line="288" w:lineRule="auto"/>
              <w:rPr>
                <w:rFonts w:ascii="微软雅黑" w:hAnsi="微软雅黑" w:eastAsia="微软雅黑" w:cs="微软雅黑"/>
                <w:szCs w:val="21"/>
              </w:rPr>
            </w:pPr>
            <w:r>
              <w:rPr>
                <w:rFonts w:hint="eastAsia" w:ascii="微软雅黑" w:hAnsi="微软雅黑" w:eastAsia="微软雅黑"/>
                <w:szCs w:val="21"/>
              </w:rPr>
              <w:t>完全竞争厂商使用生产要素的原则</w:t>
            </w:r>
          </w:p>
        </w:tc>
        <w:tc>
          <w:tcPr>
            <w:tcW w:w="1013"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812" w:type="dxa"/>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p>
        </w:tc>
        <w:tc>
          <w:tcPr>
            <w:tcW w:w="4691"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spacing w:line="288" w:lineRule="auto"/>
              <w:rPr>
                <w:rFonts w:ascii="微软雅黑" w:hAnsi="微软雅黑" w:eastAsia="微软雅黑" w:cs="微软雅黑"/>
                <w:szCs w:val="21"/>
              </w:rPr>
            </w:pPr>
            <w:r>
              <w:rPr>
                <w:rFonts w:ascii="微软雅黑" w:hAnsi="微软雅黑" w:eastAsia="微软雅黑"/>
                <w:szCs w:val="21"/>
              </w:rPr>
              <w:t>要素市场</w:t>
            </w:r>
            <w:r>
              <w:rPr>
                <w:rFonts w:hint="eastAsia" w:ascii="微软雅黑" w:hAnsi="微软雅黑" w:eastAsia="微软雅黑"/>
                <w:szCs w:val="21"/>
              </w:rPr>
              <w:t>的需求与供给</w:t>
            </w:r>
            <w:r>
              <w:rPr>
                <w:rFonts w:ascii="微软雅黑" w:hAnsi="微软雅黑" w:eastAsia="微软雅黑"/>
                <w:szCs w:val="21"/>
              </w:rPr>
              <w:t>一般原理</w:t>
            </w:r>
          </w:p>
        </w:tc>
        <w:tc>
          <w:tcPr>
            <w:tcW w:w="1013"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（2）劳动要素和土地要素</w:t>
            </w:r>
          </w:p>
        </w:tc>
        <w:tc>
          <w:tcPr>
            <w:tcW w:w="4691"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both"/>
              <w:rPr>
                <w:rFonts w:ascii="微软雅黑" w:hAnsi="微软雅黑" w:eastAsia="微软雅黑" w:cs="微软雅黑"/>
                <w:sz w:val="21"/>
                <w:szCs w:val="21"/>
              </w:rPr>
            </w:pPr>
            <w:r>
              <w:rPr>
                <w:rFonts w:ascii="微软雅黑" w:hAnsi="微软雅黑" w:eastAsia="微软雅黑"/>
                <w:sz w:val="21"/>
                <w:szCs w:val="21"/>
              </w:rPr>
              <w:t>工资的决定</w:t>
            </w:r>
            <w:r>
              <w:rPr>
                <w:rFonts w:hint="eastAsia" w:ascii="微软雅黑" w:hAnsi="微软雅黑" w:eastAsia="微软雅黑"/>
                <w:sz w:val="21"/>
                <w:szCs w:val="21"/>
              </w:rPr>
              <w:t>、</w:t>
            </w:r>
            <w:r>
              <w:rPr>
                <w:rFonts w:ascii="微软雅黑" w:hAnsi="微软雅黑" w:eastAsia="微软雅黑"/>
                <w:sz w:val="21"/>
                <w:szCs w:val="21"/>
              </w:rPr>
              <w:t>地租</w:t>
            </w:r>
            <w:r>
              <w:rPr>
                <w:rFonts w:hint="eastAsia" w:ascii="微软雅黑" w:hAnsi="微软雅黑" w:eastAsia="微软雅黑"/>
                <w:sz w:val="21"/>
                <w:szCs w:val="21"/>
              </w:rPr>
              <w:t>的决定</w:t>
            </w:r>
          </w:p>
        </w:tc>
        <w:tc>
          <w:tcPr>
            <w:tcW w:w="1013"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2812"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5"/>
              <w:widowControl/>
              <w:spacing w:after="90" w:afterAutospacing="0" w:line="360" w:lineRule="exact"/>
              <w:jc w:val="both"/>
              <w:rPr>
                <w:rFonts w:ascii="微软雅黑" w:hAnsi="微软雅黑" w:eastAsia="微软雅黑" w:cs="微软雅黑"/>
                <w:sz w:val="21"/>
                <w:szCs w:val="21"/>
              </w:rPr>
            </w:pPr>
            <w:r>
              <w:rPr>
                <w:rFonts w:hint="eastAsia" w:ascii="微软雅黑" w:hAnsi="微软雅黑" w:eastAsia="微软雅黑"/>
                <w:sz w:val="21"/>
                <w:szCs w:val="21"/>
              </w:rPr>
              <w:t>（3）洛伦兹曲线和基尼系数</w:t>
            </w:r>
          </w:p>
        </w:tc>
        <w:tc>
          <w:tcPr>
            <w:tcW w:w="4691"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both"/>
              <w:rPr>
                <w:rFonts w:ascii="微软雅黑" w:hAnsi="微软雅黑" w:eastAsia="微软雅黑" w:cs="微软雅黑"/>
                <w:sz w:val="21"/>
                <w:szCs w:val="21"/>
              </w:rPr>
            </w:pPr>
            <w:r>
              <w:rPr>
                <w:rFonts w:hint="eastAsia" w:ascii="微软雅黑" w:hAnsi="微软雅黑" w:eastAsia="微软雅黑"/>
                <w:sz w:val="21"/>
                <w:szCs w:val="21"/>
              </w:rPr>
              <w:t>洛伦兹曲线和基尼系数</w:t>
            </w:r>
          </w:p>
        </w:tc>
        <w:tc>
          <w:tcPr>
            <w:tcW w:w="1013" w:type="dxa"/>
            <w:tcBorders>
              <w:top w:val="single" w:color="000000" w:sz="6" w:space="0"/>
              <w:left w:val="nil"/>
              <w:bottom w:val="single" w:color="000000" w:sz="6" w:space="0"/>
              <w:right w:val="single" w:color="000000" w:sz="6" w:space="0"/>
            </w:tcBorders>
            <w:shd w:val="clear" w:color="auto" w:fill="FFFFFF"/>
            <w:tcMar>
              <w:left w:w="105" w:type="dxa"/>
              <w:right w:w="105" w:type="dxa"/>
            </w:tcMa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bl>
    <w:p>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pPr>
        <w:pStyle w:val="5"/>
        <w:widowControl/>
        <w:shd w:val="clear" w:color="auto" w:fill="FFFFFF"/>
        <w:spacing w:before="60" w:beforeAutospacing="0" w:afterAutospacing="0" w:line="360" w:lineRule="exact"/>
        <w:rPr>
          <w:rFonts w:hint="default" w:ascii="微软雅黑" w:hAnsi="微软雅黑" w:eastAsia="微软雅黑" w:cs="微软雅黑"/>
          <w:b/>
          <w:bCs/>
          <w:sz w:val="28"/>
          <w:szCs w:val="28"/>
          <w:shd w:val="clear" w:color="auto" w:fill="FFFFFF"/>
          <w:lang w:val="en-US" w:eastAsia="zh-Hans"/>
        </w:rPr>
      </w:pPr>
      <w:r>
        <w:rPr>
          <w:rFonts w:ascii="微软雅黑" w:hAnsi="微软雅黑" w:eastAsia="微软雅黑" w:cs="微软雅黑"/>
          <w:b/>
          <w:bCs/>
          <w:sz w:val="28"/>
          <w:szCs w:val="28"/>
          <w:shd w:val="clear" w:color="auto" w:fill="FFFFFF"/>
        </w:rPr>
        <w:t>（</w:t>
      </w:r>
      <w:r>
        <w:rPr>
          <w:rFonts w:hint="eastAsia" w:ascii="微软雅黑" w:hAnsi="微软雅黑" w:eastAsia="微软雅黑" w:cs="微软雅黑"/>
          <w:b/>
          <w:bCs/>
          <w:sz w:val="28"/>
          <w:szCs w:val="28"/>
          <w:shd w:val="clear" w:color="auto" w:fill="FFFFFF"/>
          <w:lang w:val="en-US" w:eastAsia="zh-Hans"/>
        </w:rPr>
        <w:t>二</w:t>
      </w:r>
      <w:r>
        <w:rPr>
          <w:rFonts w:ascii="微软雅黑" w:hAnsi="微软雅黑" w:eastAsia="微软雅黑" w:cs="微软雅黑"/>
          <w:b/>
          <w:bCs/>
          <w:sz w:val="28"/>
          <w:szCs w:val="28"/>
          <w:shd w:val="clear" w:color="auto" w:fill="FFFFFF"/>
        </w:rPr>
        <w:t>）</w:t>
      </w:r>
      <w:r>
        <w:rPr>
          <w:rFonts w:hint="eastAsia" w:ascii="微软雅黑" w:hAnsi="微软雅黑" w:eastAsia="微软雅黑" w:cs="微软雅黑"/>
          <w:b/>
          <w:bCs/>
          <w:sz w:val="28"/>
          <w:szCs w:val="28"/>
          <w:shd w:val="clear" w:color="auto" w:fill="FFFFFF"/>
          <w:lang w:val="en-US" w:eastAsia="zh-Hans"/>
        </w:rPr>
        <w:t>管理学</w:t>
      </w:r>
    </w:p>
    <w:tbl>
      <w:tblPr>
        <w:tblStyle w:val="6"/>
        <w:tblW w:w="851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2373"/>
        <w:gridCol w:w="5130"/>
        <w:gridCol w:w="115"/>
        <w:gridCol w:w="8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知识点</w:t>
            </w:r>
          </w:p>
        </w:tc>
        <w:tc>
          <w:tcPr>
            <w:tcW w:w="5130" w:type="dxa"/>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范围</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8516" w:type="dxa"/>
            <w:gridSpan w:val="4"/>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模块1：绪论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（1）中国古代管理思想</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中国古代管理思想</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8516" w:type="dxa"/>
            <w:gridSpan w:val="4"/>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模块2：总论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82" w:hRule="atLeast"/>
        </w:trPr>
        <w:tc>
          <w:tcPr>
            <w:tcW w:w="2373" w:type="dxa"/>
            <w:vMerge w:val="restart"/>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（1）管理的内涵与本质</w:t>
            </w:r>
          </w:p>
        </w:tc>
        <w:tc>
          <w:tcPr>
            <w:tcW w:w="5130" w:type="dxa"/>
            <w:shd w:val="clear" w:color="auto" w:fill="FFFFFF"/>
            <w:tcMar>
              <w:left w:w="105" w:type="dxa"/>
              <w:right w:w="105" w:type="dxa"/>
            </w:tcMar>
            <w:vAlign w:val="center"/>
          </w:tcPr>
          <w:p>
            <w:pPr>
              <w:pStyle w:val="5"/>
              <w:spacing w:after="9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组织的概念、组织的特征、管理者概念</w:t>
            </w:r>
          </w:p>
        </w:tc>
        <w:tc>
          <w:tcPr>
            <w:tcW w:w="1013" w:type="dxa"/>
            <w:gridSpan w:val="2"/>
            <w:shd w:val="clear" w:color="auto" w:fill="FFFFFF"/>
            <w:tcMar>
              <w:left w:w="105" w:type="dxa"/>
              <w:right w:w="105" w:type="dxa"/>
            </w:tcMar>
            <w:vAlign w:val="center"/>
          </w:tcPr>
          <w:p>
            <w:pPr>
              <w:pStyle w:val="5"/>
              <w:spacing w:after="9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3"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jc w:val="left"/>
              <w:rPr>
                <w:rFonts w:ascii="微软雅黑" w:hAnsi="微软雅黑" w:eastAsia="微软雅黑" w:cs="微软雅黑"/>
                <w:kern w:val="0"/>
                <w:szCs w:val="21"/>
              </w:rPr>
            </w:pPr>
            <w:r>
              <w:rPr>
                <w:rFonts w:hint="eastAsia" w:ascii="微软雅黑" w:hAnsi="微软雅黑" w:eastAsia="微软雅黑" w:cs="微软雅黑"/>
                <w:kern w:val="0"/>
                <w:szCs w:val="21"/>
              </w:rPr>
              <w:t>管理者的层次</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82"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jc w:val="left"/>
              <w:rPr>
                <w:rFonts w:ascii="宋体" w:hAnsi="宋体"/>
              </w:rPr>
            </w:pPr>
            <w:r>
              <w:rPr>
                <w:rFonts w:hint="eastAsia" w:ascii="微软雅黑" w:hAnsi="微软雅黑" w:eastAsia="微软雅黑" w:cs="微软雅黑"/>
                <w:kern w:val="0"/>
                <w:szCs w:val="21"/>
              </w:rPr>
              <w:t>管理的概念</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53" w:hRule="atLeast"/>
        </w:trPr>
        <w:tc>
          <w:tcPr>
            <w:tcW w:w="2373"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（2）管理的基本原理与方法</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管理的基本原理、管理的基本方法</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vMerge w:val="restart"/>
            <w:shd w:val="clear" w:color="auto" w:fill="FFFFFF"/>
            <w:tcMar>
              <w:left w:w="105" w:type="dxa"/>
              <w:right w:w="105" w:type="dxa"/>
            </w:tcMar>
            <w:vAlign w:val="center"/>
          </w:tcPr>
          <w:p>
            <w:pPr>
              <w:pStyle w:val="5"/>
              <w:spacing w:after="9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（3）管理工作</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管理活动的内容</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vMerge w:val="continue"/>
            <w:shd w:val="clear" w:color="auto" w:fill="FFFFFF"/>
            <w:tcMar>
              <w:left w:w="105" w:type="dxa"/>
              <w:right w:w="105" w:type="dxa"/>
            </w:tcMar>
            <w:vAlign w:val="center"/>
          </w:tcPr>
          <w:p>
            <w:pPr>
              <w:pStyle w:val="5"/>
              <w:spacing w:after="90" w:line="360" w:lineRule="exact"/>
              <w:ind w:firstLine="210"/>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before="100"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color w:val="000000" w:themeColor="text1"/>
                <w:sz w:val="21"/>
                <w:szCs w:val="21"/>
                <w14:textFill>
                  <w14:solidFill>
                    <w14:schemeClr w14:val="tx1"/>
                  </w14:solidFill>
                </w14:textFill>
              </w:rPr>
              <w:t>管理者角色</w:t>
            </w:r>
          </w:p>
        </w:tc>
        <w:tc>
          <w:tcPr>
            <w:tcW w:w="1013" w:type="dxa"/>
            <w:gridSpan w:val="2"/>
            <w:shd w:val="clear" w:color="auto" w:fill="FFFFFF"/>
            <w:tcMar>
              <w:left w:w="105" w:type="dxa"/>
              <w:right w:w="105" w:type="dxa"/>
            </w:tcMar>
            <w:vAlign w:val="center"/>
          </w:tcPr>
          <w:p>
            <w:pPr>
              <w:pStyle w:val="5"/>
              <w:widowControl/>
              <w:spacing w:before="100"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vMerge w:val="continue"/>
            <w:shd w:val="clear" w:color="auto" w:fill="FFFFFF"/>
            <w:tcMar>
              <w:left w:w="105" w:type="dxa"/>
              <w:right w:w="105" w:type="dxa"/>
            </w:tcMar>
            <w:vAlign w:val="center"/>
          </w:tcPr>
          <w:p>
            <w:pPr>
              <w:pStyle w:val="5"/>
              <w:spacing w:after="90" w:line="360" w:lineRule="exact"/>
              <w:ind w:firstLine="210"/>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before="100" w:after="90" w:afterAutospacing="0" w:line="360" w:lineRule="exact"/>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管理者必备的技能</w:t>
            </w:r>
          </w:p>
        </w:tc>
        <w:tc>
          <w:tcPr>
            <w:tcW w:w="1013" w:type="dxa"/>
            <w:gridSpan w:val="2"/>
            <w:shd w:val="clear" w:color="auto" w:fill="FFFFFF"/>
            <w:tcMar>
              <w:left w:w="105" w:type="dxa"/>
              <w:right w:w="105" w:type="dxa"/>
            </w:tcMar>
            <w:vAlign w:val="center"/>
          </w:tcPr>
          <w:p>
            <w:pPr>
              <w:pStyle w:val="5"/>
              <w:widowControl/>
              <w:spacing w:before="100"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39"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ind w:firstLine="210"/>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管理者层次与技能之间的关系</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55" w:hRule="atLeast"/>
        </w:trPr>
        <w:tc>
          <w:tcPr>
            <w:tcW w:w="2373" w:type="dxa"/>
            <w:vMerge w:val="restart"/>
            <w:shd w:val="clear" w:color="auto" w:fill="FFFFFF"/>
            <w:tcMar>
              <w:left w:w="105" w:type="dxa"/>
              <w:right w:w="105" w:type="dxa"/>
            </w:tcMar>
            <w:vAlign w:val="center"/>
          </w:tcPr>
          <w:p>
            <w:pPr>
              <w:pStyle w:val="5"/>
              <w:spacing w:after="9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（4）管理实践、管理思想与管理理论</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管理实践、管理思想与管理理论的含义</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vMerge w:val="continue"/>
            <w:shd w:val="clear" w:color="auto" w:fill="FFFFFF"/>
            <w:tcMar>
              <w:left w:w="105" w:type="dxa"/>
              <w:right w:w="105" w:type="dxa"/>
            </w:tcMar>
            <w:vAlign w:val="center"/>
          </w:tcPr>
          <w:p>
            <w:pPr>
              <w:pStyle w:val="5"/>
              <w:spacing w:after="9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管理实践、管理思想与管理理论之间的关系</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vMerge w:val="restart"/>
            <w:shd w:val="clear" w:color="auto" w:fill="FFFFFF"/>
            <w:tcMar>
              <w:left w:w="105" w:type="dxa"/>
              <w:right w:w="105" w:type="dxa"/>
            </w:tcMar>
            <w:vAlign w:val="center"/>
          </w:tcPr>
          <w:p>
            <w:pPr>
              <w:pStyle w:val="5"/>
              <w:spacing w:before="100" w:after="100"/>
              <w:rPr>
                <w:rFonts w:ascii="微软雅黑" w:hAnsi="微软雅黑" w:eastAsia="微软雅黑" w:cs="微软雅黑"/>
                <w:sz w:val="21"/>
                <w:szCs w:val="21"/>
              </w:rPr>
            </w:pPr>
            <w:r>
              <w:rPr>
                <w:rFonts w:hint="eastAsia" w:ascii="微软雅黑" w:hAnsi="微软雅黑" w:eastAsia="微软雅黑" w:cs="微软雅黑"/>
                <w:sz w:val="21"/>
                <w:szCs w:val="21"/>
              </w:rPr>
              <w:t>（5）管理理论的形成与发展</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早期管理实践</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亚当·斯密的观点</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古典管理理论代表人物</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泰勒的科学管理理论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法约尔的一般管理理论、韦伯的古典组织理论（科层组织理论）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对古典管理理论的评价</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行为管理理论代表人物</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梅奥的人际关系理论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X-Y理论、Z理论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对行为科学理论的评价</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现代管理理论的代表人物</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数理理论、经验主义理论、管理过程理论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系统理论、权变理论、决策理论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8516" w:type="dxa"/>
            <w:gridSpan w:val="4"/>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color w:val="000000" w:themeColor="text1"/>
                <w:sz w:val="21"/>
                <w:szCs w:val="21"/>
                <w14:textFill>
                  <w14:solidFill>
                    <w14:schemeClr w14:val="tx1"/>
                  </w14:solidFill>
                </w14:textFill>
              </w:rPr>
              <w:t>模块3：管理环境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restart"/>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 管理环境概述</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环境分类、一般环境</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具体环境（任务环境）</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内部环境</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组织文化的含义和构成</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组织文化的特征</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组织文化的影响因素</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组织文化的正面作用、组织文化的负面作用</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组织文化的载体、组织文化塑造</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restart"/>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（2）管理环境分析</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具体环境分析方法（波特五力模型）</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SWOT分析、环境的不确定性分析</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8516" w:type="dxa"/>
            <w:gridSpan w:val="4"/>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模块4：计划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restart"/>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（1）计划概述</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计划的含义与作用、计划的特征</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计划的误区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计划的类型</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（2）计划编制的过程</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计划的程序</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restart"/>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（3）计划的方法</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目标管理</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滚动计划法、甘特图</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8516" w:type="dxa"/>
            <w:gridSpan w:val="4"/>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模块:5：决策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（1）决策概念和要素</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决策概念、决策的要素</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restart"/>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（2）决策的类型与特征</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决策的分类</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决策的特征</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restart"/>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（3）决策制定过程与影响因素</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决策的程序</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决策的影响因素</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决策的原则</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restart"/>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（4）决策的方法</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决策背景研究方法</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定性决策方法（德尔菲法、专家会依法、头脑风暴法、哥顿法、电子会议法）</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确定活动方向的决策方法</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经营单位组合分析法</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政策指导矩阵法、选择活动方案的决策方法</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确定型决策方法（量本利分析法，也称保本分析法或盈亏平衡分析法）</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风险型决策方法（决策树法）</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非确定型决策方法</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8516" w:type="dxa"/>
            <w:gridSpan w:val="4"/>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模块6：组织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（1）组织职能与组织结构</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组织构成要素、组织职能的含义和作用、组织结构的含义和特征、组织结构的理论基础</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restart"/>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（2）组织结构设计</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组织结构设计的任务、影响组织设计的因素</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组织结构设计的原则</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常见组织结构的类型</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直线制、职能制、直线职能制组织结构</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事业部制、矩阵制组织结构</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组织结构的演变趋势</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restart"/>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（3）组织整合</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非正式组织的基本特征、非正式组织与正式组织的关系、非正式组织的积极作用和消极作用</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正确对待非正式组织</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管理幅度</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集权与分权</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直线与参谋</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8516" w:type="dxa"/>
            <w:gridSpan w:val="4"/>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模块7：领导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restart"/>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（1）领导概述</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领导的概念</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领导与管理</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领导者的作用</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领导权力的来源</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领导的要素</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restart"/>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（2）领 导 理 论</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领导特质理论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领导行为理论有哪些</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三种典型的领导行为理论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领导行为连续统一体</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四分图理论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管理方格理论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不成熟-成熟理论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领导权变理论有哪些</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领导生命周期理论也称情景领导理论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菲德勒的权变领导理论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豪斯的路径-目标领导理论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8516" w:type="dxa"/>
            <w:gridSpan w:val="4"/>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模块8：激励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restart"/>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 激励基础</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激励的内涵</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激励的过程、激励的作用、动机性行为的特点</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经济人假设、社会人假设、自我实现人假设、复杂人假设</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restart"/>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 激励理论</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内容型（行为）激励理论有哪些</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马斯洛的需要层次理论、赫茨伯格的双因素理论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麦克利兰的成就需要理论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过程型激励理论有哪些</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公平理论、期望理论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行为修正（强化）型激励理论有哪些</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斯金纳的强化理论、亚当斯的挫折理论、归因理论</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激励方法</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（3）激励理论的综合</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激励理论综合</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8516" w:type="dxa"/>
            <w:gridSpan w:val="4"/>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模块9：沟通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restart"/>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（1）沟通与沟通类型</w:t>
            </w:r>
          </w:p>
        </w:tc>
        <w:tc>
          <w:tcPr>
            <w:tcW w:w="5245" w:type="dxa"/>
            <w:gridSpan w:val="2"/>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沟通的含义、沟通的功能、沟通过程、沟通类型、沟通的目的</w:t>
            </w:r>
          </w:p>
        </w:tc>
        <w:tc>
          <w:tcPr>
            <w:tcW w:w="898" w:type="dxa"/>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245" w:type="dxa"/>
            <w:gridSpan w:val="2"/>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正式沟通与非正式沟通</w:t>
            </w:r>
          </w:p>
        </w:tc>
        <w:tc>
          <w:tcPr>
            <w:tcW w:w="898" w:type="dxa"/>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2373" w:type="dxa"/>
            <w:shd w:val="clear" w:color="auto" w:fill="FFFFFF"/>
            <w:tcMar>
              <w:left w:w="105" w:type="dxa"/>
              <w:right w:w="105" w:type="dxa"/>
            </w:tcMar>
            <w:vAlign w:val="center"/>
          </w:tcPr>
          <w:p>
            <w:pPr>
              <w:pStyle w:val="5"/>
              <w:spacing w:after="9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（2）沟通障碍及其克服</w:t>
            </w:r>
          </w:p>
        </w:tc>
        <w:tc>
          <w:tcPr>
            <w:tcW w:w="5245" w:type="dxa"/>
            <w:gridSpan w:val="2"/>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影响沟通的因素、克服沟通障碍</w:t>
            </w:r>
          </w:p>
        </w:tc>
        <w:tc>
          <w:tcPr>
            <w:tcW w:w="898" w:type="dxa"/>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2373" w:type="dxa"/>
            <w:vMerge w:val="restart"/>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（3）冲突及其管理</w:t>
            </w:r>
          </w:p>
        </w:tc>
        <w:tc>
          <w:tcPr>
            <w:tcW w:w="5245" w:type="dxa"/>
            <w:gridSpan w:val="2"/>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冲突的概念、冲突的特征</w:t>
            </w:r>
          </w:p>
        </w:tc>
        <w:tc>
          <w:tcPr>
            <w:tcW w:w="898" w:type="dxa"/>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245" w:type="dxa"/>
            <w:gridSpan w:val="2"/>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冲突的原因、冲突的类型、冲突观念的变迁、管理冲突</w:t>
            </w:r>
          </w:p>
        </w:tc>
        <w:tc>
          <w:tcPr>
            <w:tcW w:w="898" w:type="dxa"/>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8516" w:type="dxa"/>
            <w:gridSpan w:val="4"/>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模块10：管理控制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（1）控制的内涵与原则</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控制的内涵、控制的系统、控制的原则</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restart"/>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（2）控制的类型</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控制进程分类（事前控制、事中控制和事后控制）</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控制职能分类（战略控制、财务控制、营销控制）</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vMerge w:val="continue"/>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控制内容分类（制度控制、风险防范控制、预算控制、激励控制、绩效考评控制）</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（3） 控制的过程</w:t>
            </w:r>
          </w:p>
        </w:tc>
        <w:tc>
          <w:tcPr>
            <w:tcW w:w="5130"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控制的步骤</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（4）控制的方法</w:t>
            </w:r>
          </w:p>
        </w:tc>
        <w:tc>
          <w:tcPr>
            <w:tcW w:w="5130" w:type="dxa"/>
            <w:shd w:val="clear" w:color="auto" w:fill="FFFFFF"/>
            <w:tcMar>
              <w:left w:w="105" w:type="dxa"/>
              <w:right w:w="105" w:type="dxa"/>
            </w:tcMar>
            <w:vAlign w:val="center"/>
          </w:tcPr>
          <w:p>
            <w:pPr>
              <w:pStyle w:val="5"/>
              <w:widowControl/>
              <w:spacing w:after="9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PDCA循环</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301" w:hRule="atLeast"/>
        </w:trPr>
        <w:tc>
          <w:tcPr>
            <w:tcW w:w="2373" w:type="dxa"/>
            <w:shd w:val="clear" w:color="auto" w:fill="FFFFFF"/>
            <w:tcMar>
              <w:left w:w="105" w:type="dxa"/>
              <w:right w:w="105" w:type="dxa"/>
            </w:tcMar>
            <w:vAlign w:val="center"/>
          </w:tcPr>
          <w:p>
            <w:pPr>
              <w:pStyle w:val="5"/>
              <w:widowControl/>
              <w:spacing w:after="90" w:afterAutospacing="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（5）有效控制的原则</w:t>
            </w:r>
          </w:p>
        </w:tc>
        <w:tc>
          <w:tcPr>
            <w:tcW w:w="5130" w:type="dxa"/>
            <w:shd w:val="clear" w:color="auto" w:fill="FFFFFF"/>
            <w:tcMar>
              <w:left w:w="105" w:type="dxa"/>
              <w:right w:w="105" w:type="dxa"/>
            </w:tcMar>
            <w:vAlign w:val="center"/>
          </w:tcPr>
          <w:p>
            <w:pPr>
              <w:pStyle w:val="5"/>
              <w:widowControl/>
              <w:spacing w:after="90" w:line="360" w:lineRule="exact"/>
              <w:rPr>
                <w:rFonts w:ascii="微软雅黑" w:hAnsi="微软雅黑" w:eastAsia="微软雅黑" w:cs="微软雅黑"/>
                <w:sz w:val="21"/>
                <w:szCs w:val="21"/>
              </w:rPr>
            </w:pPr>
            <w:r>
              <w:rPr>
                <w:rFonts w:hint="eastAsia" w:ascii="微软雅黑" w:hAnsi="微软雅黑" w:eastAsia="微软雅黑" w:cs="微软雅黑"/>
                <w:sz w:val="21"/>
                <w:szCs w:val="21"/>
              </w:rPr>
              <w:t>有效控制的原则</w:t>
            </w:r>
          </w:p>
        </w:tc>
        <w:tc>
          <w:tcPr>
            <w:tcW w:w="1013" w:type="dxa"/>
            <w:gridSpan w:val="2"/>
            <w:shd w:val="clear" w:color="auto" w:fill="FFFFFF"/>
            <w:tcMar>
              <w:left w:w="105" w:type="dxa"/>
              <w:right w:w="105" w:type="dxa"/>
            </w:tcMar>
            <w:vAlign w:val="center"/>
          </w:tcPr>
          <w:p>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知道</w:t>
            </w:r>
          </w:p>
        </w:tc>
      </w:tr>
    </w:tbl>
    <w:p>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pPr>
        <w:pStyle w:val="5"/>
        <w:widowControl/>
        <w:shd w:val="clear" w:color="auto" w:fill="FFFFFF"/>
        <w:spacing w:before="60" w:beforeAutospacing="0" w:afterAutospacing="0" w:line="360" w:lineRule="exact"/>
        <w:rPr>
          <w:rFonts w:ascii="微软雅黑" w:hAnsi="微软雅黑" w:eastAsia="微软雅黑" w:cs="微软雅黑"/>
          <w:b/>
          <w:bCs/>
          <w:sz w:val="28"/>
          <w:szCs w:val="28"/>
        </w:rPr>
      </w:pPr>
      <w:r>
        <w:rPr>
          <w:rFonts w:hint="eastAsia" w:ascii="微软雅黑" w:hAnsi="微软雅黑" w:eastAsia="微软雅黑" w:cs="微软雅黑"/>
          <w:b/>
          <w:bCs/>
          <w:sz w:val="28"/>
          <w:szCs w:val="28"/>
          <w:shd w:val="clear" w:color="auto" w:fill="FFFFFF"/>
        </w:rPr>
        <w:t xml:space="preserve">五、参考教材  </w:t>
      </w:r>
    </w:p>
    <w:p>
      <w:pPr>
        <w:pStyle w:val="5"/>
        <w:widowControl/>
        <w:shd w:val="clear" w:color="auto" w:fill="FFFFFF"/>
        <w:spacing w:line="360" w:lineRule="exact"/>
        <w:rPr>
          <w:rFonts w:hint="default" w:ascii="微软雅黑" w:hAnsi="微软雅黑" w:eastAsia="微软雅黑" w:cs="微软雅黑"/>
          <w:color w:val="000000" w:themeColor="text1"/>
          <w:sz w:val="21"/>
          <w:szCs w:val="21"/>
          <w:shd w:val="clear" w:color="auto" w:fill="FFFFFF"/>
          <w14:textFill>
            <w14:solidFill>
              <w14:schemeClr w14:val="tx1"/>
            </w14:solidFill>
          </w14:textFill>
        </w:rPr>
      </w:pPr>
      <w:r>
        <w:rPr>
          <w:rFonts w:hint="default" w:ascii="微软雅黑" w:hAnsi="微软雅黑" w:eastAsia="微软雅黑" w:cs="微软雅黑"/>
          <w:color w:val="000000" w:themeColor="text1"/>
          <w:sz w:val="21"/>
          <w:szCs w:val="21"/>
          <w:shd w:val="clear" w:color="auto" w:fill="FFFFFF"/>
          <w14:textFill>
            <w14:solidFill>
              <w14:schemeClr w14:val="tx1"/>
            </w14:solidFill>
          </w14:textFill>
        </w:rPr>
        <w:t>1</w:t>
      </w:r>
      <w:r>
        <w:rPr>
          <w:rFonts w:hint="eastAsia" w:ascii="微软雅黑" w:hAnsi="微软雅黑" w:eastAsia="微软雅黑" w:cs="微软雅黑"/>
          <w:color w:val="000000" w:themeColor="text1"/>
          <w:sz w:val="21"/>
          <w:szCs w:val="21"/>
          <w:shd w:val="clear" w:color="auto" w:fill="FFFFFF"/>
          <w:lang w:val="en-US" w:eastAsia="zh-Hans"/>
          <w14:textFill>
            <w14:solidFill>
              <w14:schemeClr w14:val="tx1"/>
            </w14:solidFill>
          </w14:textFill>
        </w:rPr>
        <w:t>.</w:t>
      </w:r>
      <w:r>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t>西方经济学（上册）（第二版），《西方经济学》编写组主编，高等教育出版社、人民出版社，2019年9月</w:t>
      </w:r>
      <w:r>
        <w:rPr>
          <w:rFonts w:hint="default" w:ascii="微软雅黑" w:hAnsi="微软雅黑" w:eastAsia="微软雅黑" w:cs="微软雅黑"/>
          <w:color w:val="000000" w:themeColor="text1"/>
          <w:sz w:val="21"/>
          <w:szCs w:val="21"/>
          <w:shd w:val="clear" w:color="auto" w:fill="FFFFFF"/>
          <w14:textFill>
            <w14:solidFill>
              <w14:schemeClr w14:val="tx1"/>
            </w14:solidFill>
          </w14:textFill>
        </w:rPr>
        <w:t>。</w:t>
      </w:r>
    </w:p>
    <w:p>
      <w:pPr>
        <w:pStyle w:val="5"/>
        <w:widowControl/>
        <w:shd w:val="clear" w:color="auto" w:fill="FFFFFF"/>
        <w:spacing w:line="360" w:lineRule="exact"/>
        <w:rPr>
          <w:rFonts w:ascii="微软雅黑" w:hAnsi="微软雅黑" w:eastAsia="微软雅黑" w:cs="微软雅黑"/>
          <w:sz w:val="21"/>
          <w:szCs w:val="21"/>
        </w:rPr>
      </w:pPr>
      <w:r>
        <w:rPr>
          <w:rFonts w:hint="default" w:ascii="微软雅黑" w:hAnsi="微软雅黑" w:eastAsia="微软雅黑" w:cs="微软雅黑"/>
          <w:sz w:val="21"/>
          <w:szCs w:val="21"/>
          <w:shd w:val="clear" w:color="auto" w:fill="FFFFFF"/>
        </w:rPr>
        <w:t>2</w:t>
      </w:r>
      <w:r>
        <w:rPr>
          <w:rFonts w:hint="eastAsia" w:ascii="微软雅黑" w:hAnsi="微软雅黑" w:eastAsia="微软雅黑" w:cs="微软雅黑"/>
          <w:sz w:val="21"/>
          <w:szCs w:val="21"/>
          <w:shd w:val="clear" w:color="auto" w:fill="FFFFFF"/>
          <w:lang w:val="en-US" w:eastAsia="zh-Hans"/>
        </w:rPr>
        <w:t>.</w:t>
      </w:r>
      <w:r>
        <w:rPr>
          <w:rFonts w:hint="eastAsia" w:ascii="微软雅黑" w:hAnsi="微软雅黑" w:eastAsia="微软雅黑" w:cs="微软雅黑"/>
          <w:sz w:val="21"/>
          <w:szCs w:val="21"/>
          <w:shd w:val="clear" w:color="auto" w:fill="FFFFFF"/>
        </w:rPr>
        <w:t>《管理学》(2019年1月第1版)马克思主义理论研究和建设工程重点教材，主编陈传明，高等教育出版社。</w:t>
      </w:r>
    </w:p>
    <w:p>
      <w:pPr>
        <w:pStyle w:val="5"/>
        <w:widowControl/>
        <w:shd w:val="clear" w:color="auto" w:fill="FFFFFF"/>
        <w:spacing w:line="360" w:lineRule="exact"/>
        <w:rPr>
          <w:rFonts w:hint="eastAsia" w:ascii="微软雅黑" w:hAnsi="微软雅黑" w:eastAsia="微软雅黑" w:cs="微软雅黑"/>
          <w:color w:val="000000" w:themeColor="text1"/>
          <w:sz w:val="21"/>
          <w:szCs w:val="21"/>
          <w:shd w:val="clear" w:color="auto" w:fill="FFFFFF"/>
          <w14:textFill>
            <w14:solidFill>
              <w14:schemeClr w14:val="tx1"/>
            </w14:solidFill>
          </w14:textFill>
        </w:rPr>
      </w:pPr>
    </w:p>
    <w:p>
      <w:pPr>
        <w:keepNext w:val="0"/>
        <w:keepLines w:val="0"/>
        <w:widowControl/>
        <w:suppressLineNumbers w:val="0"/>
        <w:jc w:val="left"/>
        <w:rPr>
          <w:rFonts w:hint="default" w:ascii="微软雅黑" w:hAnsi="微软雅黑" w:eastAsia="微软雅黑" w:cs="微软雅黑"/>
          <w:color w:val="000000" w:themeColor="text1"/>
          <w:sz w:val="21"/>
          <w:szCs w:val="21"/>
          <w14:textFill>
            <w14:solidFill>
              <w14:schemeClr w14:val="tx1"/>
            </w14:solidFill>
          </w14:textFill>
        </w:rPr>
      </w:pPr>
      <w:r>
        <w:rPr>
          <w:rFonts w:ascii="微软雅黑" w:hAnsi="微软雅黑" w:eastAsia="微软雅黑" w:cs="微软雅黑"/>
          <w:color w:val="000000" w:themeColor="text1"/>
          <w:sz w:val="21"/>
          <w:szCs w:val="21"/>
          <w14:textFill>
            <w14:solidFill>
              <w14:schemeClr w14:val="tx1"/>
            </w14:solidFill>
          </w14:textFill>
        </w:rPr>
        <w:drawing>
          <wp:inline distT="0" distB="0" distL="0" distR="0">
            <wp:extent cx="2506345" cy="3184525"/>
            <wp:effectExtent l="0" t="0" r="825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506345" cy="3184525"/>
                    </a:xfrm>
                    <a:prstGeom prst="rect">
                      <a:avLst/>
                    </a:prstGeom>
                    <a:noFill/>
                    <a:ln>
                      <a:noFill/>
                    </a:ln>
                  </pic:spPr>
                </pic:pic>
              </a:graphicData>
            </a:graphic>
          </wp:inline>
        </w:drawing>
      </w:r>
      <w:r>
        <w:rPr>
          <w:rFonts w:ascii="宋体" w:hAnsi="宋体" w:eastAsia="宋体" w:cs="宋体"/>
          <w:kern w:val="0"/>
          <w:sz w:val="24"/>
          <w:szCs w:val="24"/>
          <w:lang w:val="en-US" w:eastAsia="zh-CN" w:bidi="ar"/>
        </w:rPr>
        <w:br w:type="textWrapping"/>
      </w:r>
      <w:r>
        <w:rPr>
          <w:rFonts w:ascii="Tahoma" w:hAnsi="Tahoma" w:eastAsia="Tahoma" w:cs="Tahoma"/>
          <w:i w:val="0"/>
          <w:iCs w:val="0"/>
          <w:caps w:val="0"/>
          <w:color w:val="666666"/>
          <w:spacing w:val="0"/>
          <w:kern w:val="0"/>
          <w:sz w:val="24"/>
          <w:szCs w:val="24"/>
          <w:u w:val="none"/>
          <w:lang w:val="en-US" w:eastAsia="zh-CN" w:bidi="ar"/>
        </w:rPr>
        <w:drawing>
          <wp:inline distT="0" distB="0" distL="114300" distR="114300">
            <wp:extent cx="2667000" cy="3373120"/>
            <wp:effectExtent l="0" t="0" r="0" b="508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rcRect l="13899" t="5988" r="16310" b="5757"/>
                    <a:stretch>
                      <a:fillRect/>
                    </a:stretch>
                  </pic:blipFill>
                  <pic:spPr>
                    <a:xfrm>
                      <a:off x="0" y="0"/>
                      <a:ext cx="2667000" cy="3373120"/>
                    </a:xfrm>
                    <a:prstGeom prst="rect">
                      <a:avLst/>
                    </a:prstGeom>
                    <a:noFill/>
                    <a:ln w="9525">
                      <a:noFill/>
                    </a:ln>
                  </pic:spPr>
                </pic:pic>
              </a:graphicData>
            </a:graphic>
          </wp:inline>
        </w:drawing>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0920B"/>
    <w:multiLevelType w:val="singleLevel"/>
    <w:tmpl w:val="EDB0920B"/>
    <w:lvl w:ilvl="0" w:tentative="0">
      <w:start w:val="1"/>
      <w:numFmt w:val="decimal"/>
      <w:suff w:val="space"/>
      <w:lvlText w:val="%1."/>
      <w:lvlJc w:val="left"/>
    </w:lvl>
  </w:abstractNum>
  <w:abstractNum w:abstractNumId="1">
    <w:nsid w:val="6FFFA76D"/>
    <w:multiLevelType w:val="singleLevel"/>
    <w:tmpl w:val="6FFFA76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4YTZmMjI3YmViMmYxYzBjNDQwOGJmYzVkNzQxZWMifQ=="/>
  </w:docVars>
  <w:rsids>
    <w:rsidRoot w:val="7EE933EA"/>
    <w:rsid w:val="000B1B10"/>
    <w:rsid w:val="000C5ED0"/>
    <w:rsid w:val="00186E7C"/>
    <w:rsid w:val="003103BB"/>
    <w:rsid w:val="00442CE4"/>
    <w:rsid w:val="004C542E"/>
    <w:rsid w:val="00584E8F"/>
    <w:rsid w:val="00612DEF"/>
    <w:rsid w:val="00624D32"/>
    <w:rsid w:val="007217FA"/>
    <w:rsid w:val="00820C14"/>
    <w:rsid w:val="009045A2"/>
    <w:rsid w:val="00924D59"/>
    <w:rsid w:val="00944DA9"/>
    <w:rsid w:val="009657C1"/>
    <w:rsid w:val="009D315C"/>
    <w:rsid w:val="00A21039"/>
    <w:rsid w:val="00A8429F"/>
    <w:rsid w:val="00AE1576"/>
    <w:rsid w:val="00B153C4"/>
    <w:rsid w:val="00B51A1B"/>
    <w:rsid w:val="00BD4752"/>
    <w:rsid w:val="00BE695D"/>
    <w:rsid w:val="00CB18CF"/>
    <w:rsid w:val="00CC277C"/>
    <w:rsid w:val="00DC4F30"/>
    <w:rsid w:val="00F965E5"/>
    <w:rsid w:val="03B271EA"/>
    <w:rsid w:val="0B97445A"/>
    <w:rsid w:val="0DBB35FD"/>
    <w:rsid w:val="0FEE097B"/>
    <w:rsid w:val="1A052D9D"/>
    <w:rsid w:val="1D097A57"/>
    <w:rsid w:val="226F259E"/>
    <w:rsid w:val="23643923"/>
    <w:rsid w:val="2FF67C66"/>
    <w:rsid w:val="34FF461D"/>
    <w:rsid w:val="3CCE16E1"/>
    <w:rsid w:val="43DA0E66"/>
    <w:rsid w:val="489C7AC2"/>
    <w:rsid w:val="4D260264"/>
    <w:rsid w:val="4E0524EE"/>
    <w:rsid w:val="4FDD4D67"/>
    <w:rsid w:val="51FE6F89"/>
    <w:rsid w:val="5718566B"/>
    <w:rsid w:val="5D2D2525"/>
    <w:rsid w:val="643B69D1"/>
    <w:rsid w:val="71600F63"/>
    <w:rsid w:val="719D7B50"/>
    <w:rsid w:val="71DB0848"/>
    <w:rsid w:val="77CB23FA"/>
    <w:rsid w:val="79355D77"/>
    <w:rsid w:val="7EE933EA"/>
    <w:rsid w:val="7FBE3287"/>
    <w:rsid w:val="FF7F2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3259</Words>
  <Characters>3324</Characters>
  <Lines>11</Lines>
  <Paragraphs>3</Paragraphs>
  <TotalTime>7</TotalTime>
  <ScaleCrop>false</ScaleCrop>
  <LinksUpToDate>false</LinksUpToDate>
  <CharactersWithSpaces>3335</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2023-07-05T17:31:00Z</dcterms:created>
  <dc:creator>nicehim</dc:creator>
  <cp:lastModifiedBy>nicehim</cp:lastModifiedBy>
  <dcterms:modified xsi:type="dcterms:W3CDTF">2023-07-12T13:44:17Z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0341FCCFB9F04E2CA5511CAD6BD08E2E</vt:lpwstr>
  </property>
</Properties>
</file>