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AC64" w14:textId="139B5A73" w:rsidR="004120DC" w:rsidRPr="00920B9F" w:rsidRDefault="00166190">
      <w:pPr>
        <w:jc w:val="center"/>
        <w:rPr>
          <w:rFonts w:ascii="黑体" w:eastAsia="黑体" w:hAnsi="黑体" w:cs="Times New Roman"/>
          <w:sz w:val="36"/>
          <w:szCs w:val="32"/>
        </w:rPr>
      </w:pPr>
      <w:r w:rsidRPr="00920B9F">
        <w:rPr>
          <w:rFonts w:ascii="黑体" w:eastAsia="黑体" w:hAnsi="黑体" w:cs="Times New Roman"/>
          <w:sz w:val="36"/>
          <w:szCs w:val="32"/>
        </w:rPr>
        <w:t>20</w:t>
      </w:r>
      <w:r w:rsidR="0092513D" w:rsidRPr="00920B9F">
        <w:rPr>
          <w:rFonts w:ascii="黑体" w:eastAsia="黑体" w:hAnsi="黑体" w:cs="Times New Roman" w:hint="eastAsia"/>
          <w:sz w:val="36"/>
          <w:szCs w:val="32"/>
        </w:rPr>
        <w:t>2</w:t>
      </w:r>
      <w:r w:rsidR="0003770A">
        <w:rPr>
          <w:rFonts w:ascii="黑体" w:eastAsia="黑体" w:hAnsi="黑体" w:cs="Times New Roman"/>
          <w:sz w:val="36"/>
          <w:szCs w:val="32"/>
        </w:rPr>
        <w:t>2</w:t>
      </w:r>
      <w:r w:rsidRPr="00920B9F">
        <w:rPr>
          <w:rFonts w:ascii="黑体" w:eastAsia="黑体" w:hAnsi="黑体" w:cs="Times New Roman"/>
          <w:sz w:val="36"/>
          <w:szCs w:val="32"/>
        </w:rPr>
        <w:t>年上海商学院财务管理专业专升本招生考试</w:t>
      </w:r>
    </w:p>
    <w:p w14:paraId="01A736E6" w14:textId="77777777" w:rsidR="004120DC" w:rsidRPr="00920B9F" w:rsidRDefault="00166190">
      <w:pPr>
        <w:jc w:val="center"/>
        <w:rPr>
          <w:rFonts w:ascii="黑体" w:eastAsia="黑体" w:hAnsi="黑体" w:cs="Times New Roman"/>
          <w:sz w:val="36"/>
          <w:szCs w:val="32"/>
        </w:rPr>
      </w:pPr>
      <w:r w:rsidRPr="00920B9F">
        <w:rPr>
          <w:rFonts w:ascii="黑体" w:eastAsia="黑体" w:hAnsi="黑体" w:cs="Times New Roman"/>
          <w:sz w:val="36"/>
          <w:szCs w:val="32"/>
        </w:rPr>
        <w:t>考试大纲</w:t>
      </w:r>
    </w:p>
    <w:p w14:paraId="06F1BC5F" w14:textId="77777777" w:rsidR="004120DC" w:rsidRDefault="004120DC">
      <w:pPr>
        <w:rPr>
          <w:rFonts w:ascii="Times New Roman" w:hAnsi="Times New Roman" w:cs="Times New Roman"/>
          <w:sz w:val="25"/>
        </w:rPr>
      </w:pPr>
    </w:p>
    <w:p w14:paraId="02D43F70" w14:textId="77777777" w:rsidR="004120DC" w:rsidRDefault="001661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考试科目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：《财务管理》</w:t>
      </w:r>
    </w:p>
    <w:p w14:paraId="23927023" w14:textId="77777777" w:rsidR="004120DC" w:rsidRDefault="001661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一、命题原则</w:t>
      </w:r>
    </w:p>
    <w:p w14:paraId="43E4B2A4" w14:textId="77777777"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．考试目标</w:t>
      </w:r>
    </w:p>
    <w:p w14:paraId="37A60E17" w14:textId="77777777" w:rsidR="004120DC" w:rsidRDefault="0016619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考试目标在于考核已修完财务管理所规定基本教学内容的学生，是否较好地达到课程标准所确定的目标，并具有继续进行本科财务管理及相关课程深入学习的能力。</w:t>
      </w:r>
    </w:p>
    <w:p w14:paraId="787755AE" w14:textId="77777777"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．考试标准</w:t>
      </w:r>
    </w:p>
    <w:p w14:paraId="151EDF70" w14:textId="77777777" w:rsidR="004120DC" w:rsidRDefault="0016619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考试标准是以普通高等学校的教学要求为参照标准，在考试的总体水平上，与普通高等学校相应专业的学历层次水平相一致。它是由专升本考试的招生录取计划、考试大纲和参考教材来具体体现的。</w:t>
      </w:r>
    </w:p>
    <w:p w14:paraId="5C6E7C77" w14:textId="77777777"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．考试依据和范围</w:t>
      </w:r>
    </w:p>
    <w:p w14:paraId="15A9C497" w14:textId="77777777" w:rsidR="004120DC" w:rsidRDefault="0016619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考试依据见考试大纲，命题范围严格遵循考试大纲，侧重考核财务管理基本知识、基本原理的理解和掌握以及基本方法的应用。</w:t>
      </w:r>
    </w:p>
    <w:p w14:paraId="2CE782CA" w14:textId="77777777"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．考试内容</w:t>
      </w:r>
    </w:p>
    <w:tbl>
      <w:tblPr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150"/>
        <w:gridCol w:w="1512"/>
      </w:tblGrid>
      <w:tr w:rsidR="004120DC" w14:paraId="33D68DCA" w14:textId="77777777">
        <w:tc>
          <w:tcPr>
            <w:tcW w:w="2518" w:type="dxa"/>
            <w:vAlign w:val="center"/>
          </w:tcPr>
          <w:p w14:paraId="4891401F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知　识　点</w:t>
            </w:r>
          </w:p>
        </w:tc>
        <w:tc>
          <w:tcPr>
            <w:tcW w:w="5150" w:type="dxa"/>
            <w:vAlign w:val="center"/>
          </w:tcPr>
          <w:p w14:paraId="0755BCB5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范　　围</w:t>
            </w:r>
          </w:p>
        </w:tc>
        <w:tc>
          <w:tcPr>
            <w:tcW w:w="1512" w:type="dxa"/>
            <w:vAlign w:val="center"/>
          </w:tcPr>
          <w:p w14:paraId="7F351E41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认知</w:t>
            </w:r>
          </w:p>
        </w:tc>
      </w:tr>
      <w:tr w:rsidR="002A131C" w14:paraId="2FAE1D0C" w14:textId="77777777" w:rsidTr="007E0CDE">
        <w:tc>
          <w:tcPr>
            <w:tcW w:w="9180" w:type="dxa"/>
            <w:gridSpan w:val="3"/>
            <w:vAlign w:val="center"/>
          </w:tcPr>
          <w:p w14:paraId="7F3F04F5" w14:textId="54902FFE" w:rsidR="002A131C" w:rsidRDefault="002A131C" w:rsidP="002A131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一、总论</w:t>
            </w:r>
          </w:p>
        </w:tc>
      </w:tr>
      <w:tr w:rsidR="004120DC" w14:paraId="3BE187A2" w14:textId="77777777">
        <w:tc>
          <w:tcPr>
            <w:tcW w:w="2518" w:type="dxa"/>
            <w:vAlign w:val="center"/>
          </w:tcPr>
          <w:p w14:paraId="459D1A85" w14:textId="5A2B8039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．财务管理</w:t>
            </w:r>
            <w:r w:rsidR="00157E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内容</w:t>
            </w:r>
          </w:p>
        </w:tc>
        <w:tc>
          <w:tcPr>
            <w:tcW w:w="5150" w:type="dxa"/>
            <w:vAlign w:val="center"/>
          </w:tcPr>
          <w:p w14:paraId="370F2CE5" w14:textId="0E9125DE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财务管理概念；</w:t>
            </w:r>
            <w:r w:rsidR="007170B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企业的组织形式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；财务</w:t>
            </w:r>
            <w:r w:rsidR="007170B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管理的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内容</w:t>
            </w:r>
          </w:p>
        </w:tc>
        <w:tc>
          <w:tcPr>
            <w:tcW w:w="1512" w:type="dxa"/>
            <w:vAlign w:val="center"/>
          </w:tcPr>
          <w:p w14:paraId="5C3A1918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 w14:paraId="68FF5AD0" w14:textId="77777777">
        <w:tc>
          <w:tcPr>
            <w:tcW w:w="2518" w:type="dxa"/>
            <w:vAlign w:val="center"/>
          </w:tcPr>
          <w:p w14:paraId="561D2A7E" w14:textId="6EFBEFF4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．财务管理</w:t>
            </w:r>
            <w:r w:rsidR="00157E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目标</w:t>
            </w:r>
          </w:p>
        </w:tc>
        <w:tc>
          <w:tcPr>
            <w:tcW w:w="5150" w:type="dxa"/>
            <w:vAlign w:val="center"/>
          </w:tcPr>
          <w:p w14:paraId="37F3F90B" w14:textId="069A0830" w:rsidR="004120DC" w:rsidRDefault="009C227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财务管理的基本目标；利益相关者目标</w:t>
            </w:r>
            <w:r w:rsidR="0016619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财务管理目标的冲突与协调</w:t>
            </w:r>
          </w:p>
        </w:tc>
        <w:tc>
          <w:tcPr>
            <w:tcW w:w="1512" w:type="dxa"/>
            <w:vAlign w:val="center"/>
          </w:tcPr>
          <w:p w14:paraId="25A5E999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 w14:paraId="7846CF09" w14:textId="77777777">
        <w:tc>
          <w:tcPr>
            <w:tcW w:w="2518" w:type="dxa"/>
            <w:vAlign w:val="center"/>
          </w:tcPr>
          <w:p w14:paraId="396201E4" w14:textId="44509C39" w:rsidR="004120DC" w:rsidRDefault="009C227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166190">
              <w:rPr>
                <w:rFonts w:ascii="Times New Roman" w:eastAsia="宋体" w:hAnsi="Times New Roman" w:cs="Times New Roman"/>
                <w:sz w:val="24"/>
                <w:szCs w:val="24"/>
              </w:rPr>
              <w:t>．财务管理的环境</w:t>
            </w:r>
          </w:p>
        </w:tc>
        <w:tc>
          <w:tcPr>
            <w:tcW w:w="5150" w:type="dxa"/>
            <w:vAlign w:val="center"/>
          </w:tcPr>
          <w:p w14:paraId="7FEF6A0E" w14:textId="4657504A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经济环境、金融环境及</w:t>
            </w:r>
            <w:r w:rsidR="009C22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资本市场效率</w:t>
            </w:r>
          </w:p>
        </w:tc>
        <w:tc>
          <w:tcPr>
            <w:tcW w:w="1512" w:type="dxa"/>
            <w:vAlign w:val="center"/>
          </w:tcPr>
          <w:p w14:paraId="1EC4A050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2A131C" w14:paraId="6E4815C3" w14:textId="77777777" w:rsidTr="005C5E6B">
        <w:tc>
          <w:tcPr>
            <w:tcW w:w="9180" w:type="dxa"/>
            <w:gridSpan w:val="3"/>
            <w:vAlign w:val="center"/>
          </w:tcPr>
          <w:p w14:paraId="1A4899FC" w14:textId="6B1638B3" w:rsidR="002A131C" w:rsidRDefault="002A131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二、财务分析</w:t>
            </w:r>
          </w:p>
        </w:tc>
      </w:tr>
      <w:tr w:rsidR="004120DC" w14:paraId="1769E792" w14:textId="77777777">
        <w:tc>
          <w:tcPr>
            <w:tcW w:w="2518" w:type="dxa"/>
            <w:vAlign w:val="center"/>
          </w:tcPr>
          <w:p w14:paraId="5E77C30A" w14:textId="17D5A3E4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</w:t>
            </w:r>
            <w:r w:rsidR="0053561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概述</w:t>
            </w:r>
          </w:p>
        </w:tc>
        <w:tc>
          <w:tcPr>
            <w:tcW w:w="5150" w:type="dxa"/>
            <w:vAlign w:val="center"/>
          </w:tcPr>
          <w:p w14:paraId="3382315F" w14:textId="011604FA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财务分析的</w:t>
            </w:r>
            <w:r w:rsidR="009C22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目的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；财务分析的</w:t>
            </w:r>
            <w:r w:rsidR="009C22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基础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；财务分析的</w:t>
            </w:r>
            <w:r w:rsidR="009C227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方法及局限性</w:t>
            </w:r>
          </w:p>
        </w:tc>
        <w:tc>
          <w:tcPr>
            <w:tcW w:w="1512" w:type="dxa"/>
            <w:vAlign w:val="center"/>
          </w:tcPr>
          <w:p w14:paraId="24ACE214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 w14:paraId="22D061CA" w14:textId="77777777">
        <w:trPr>
          <w:trHeight w:val="570"/>
        </w:trPr>
        <w:tc>
          <w:tcPr>
            <w:tcW w:w="2518" w:type="dxa"/>
            <w:vMerge w:val="restart"/>
            <w:vAlign w:val="center"/>
          </w:tcPr>
          <w:p w14:paraId="62CFB069" w14:textId="033E18A5" w:rsidR="004120DC" w:rsidRDefault="009C227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166190">
              <w:rPr>
                <w:rFonts w:ascii="Times New Roman" w:eastAsia="宋体" w:hAnsi="Times New Roman" w:cs="Times New Roman"/>
                <w:sz w:val="24"/>
                <w:szCs w:val="24"/>
              </w:rPr>
              <w:t>．财务分析指标</w:t>
            </w:r>
          </w:p>
        </w:tc>
        <w:tc>
          <w:tcPr>
            <w:tcW w:w="5150" w:type="dxa"/>
            <w:vAlign w:val="center"/>
          </w:tcPr>
          <w:p w14:paraId="54AF9664" w14:textId="6465FC91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基于资产负债表和利润表的短期偿债能力分析指标、长期偿债能力分析指标、营运能力分析指标、</w:t>
            </w:r>
            <w:r w:rsidR="00157E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利能力分析指标</w:t>
            </w:r>
            <w:r w:rsidR="00157E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、上市公司比率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计算及运用</w:t>
            </w:r>
          </w:p>
        </w:tc>
        <w:tc>
          <w:tcPr>
            <w:tcW w:w="1512" w:type="dxa"/>
            <w:vAlign w:val="center"/>
          </w:tcPr>
          <w:p w14:paraId="6F2969E5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 w14:paraId="44803FC2" w14:textId="77777777">
        <w:trPr>
          <w:trHeight w:val="570"/>
        </w:trPr>
        <w:tc>
          <w:tcPr>
            <w:tcW w:w="2518" w:type="dxa"/>
            <w:vMerge/>
            <w:vAlign w:val="center"/>
          </w:tcPr>
          <w:p w14:paraId="2F4455EE" w14:textId="77777777"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Align w:val="center"/>
          </w:tcPr>
          <w:p w14:paraId="6BA1533D" w14:textId="77777777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基于现金流量表的各项财务分析指标计算与应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用</w:t>
            </w:r>
          </w:p>
        </w:tc>
        <w:tc>
          <w:tcPr>
            <w:tcW w:w="1512" w:type="dxa"/>
            <w:vAlign w:val="center"/>
          </w:tcPr>
          <w:p w14:paraId="27034BD0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了解</w:t>
            </w:r>
          </w:p>
        </w:tc>
      </w:tr>
      <w:tr w:rsidR="004120DC" w14:paraId="75FD6EE8" w14:textId="77777777">
        <w:tc>
          <w:tcPr>
            <w:tcW w:w="2518" w:type="dxa"/>
            <w:vMerge w:val="restart"/>
            <w:vAlign w:val="center"/>
          </w:tcPr>
          <w:p w14:paraId="071ABD1D" w14:textId="3AB2DC04" w:rsidR="004120DC" w:rsidRDefault="00157E54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166190">
              <w:rPr>
                <w:rFonts w:ascii="Times New Roman" w:eastAsia="宋体" w:hAnsi="Times New Roman" w:cs="Times New Roman"/>
                <w:sz w:val="24"/>
                <w:szCs w:val="24"/>
              </w:rPr>
              <w:t>．财务综合分析</w:t>
            </w:r>
          </w:p>
        </w:tc>
        <w:tc>
          <w:tcPr>
            <w:tcW w:w="5150" w:type="dxa"/>
            <w:vAlign w:val="center"/>
          </w:tcPr>
          <w:p w14:paraId="27D5A787" w14:textId="77777777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杜邦财务分析体系</w:t>
            </w:r>
          </w:p>
        </w:tc>
        <w:tc>
          <w:tcPr>
            <w:tcW w:w="1512" w:type="dxa"/>
            <w:vAlign w:val="center"/>
          </w:tcPr>
          <w:p w14:paraId="4A889D0A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 w14:paraId="16BC09BD" w14:textId="77777777">
        <w:tc>
          <w:tcPr>
            <w:tcW w:w="2518" w:type="dxa"/>
            <w:vMerge/>
            <w:vAlign w:val="center"/>
          </w:tcPr>
          <w:p w14:paraId="1694B82A" w14:textId="77777777"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Align w:val="center"/>
          </w:tcPr>
          <w:p w14:paraId="6269DCBA" w14:textId="101367FA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沃尔</w:t>
            </w:r>
            <w:r w:rsidR="00157E5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比重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评分法</w:t>
            </w:r>
          </w:p>
        </w:tc>
        <w:tc>
          <w:tcPr>
            <w:tcW w:w="1512" w:type="dxa"/>
            <w:vAlign w:val="center"/>
          </w:tcPr>
          <w:p w14:paraId="1245B1A0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2A131C" w14:paraId="1CC9CD1D" w14:textId="77777777" w:rsidTr="009B0CD7">
        <w:tc>
          <w:tcPr>
            <w:tcW w:w="9180" w:type="dxa"/>
            <w:gridSpan w:val="3"/>
            <w:vAlign w:val="center"/>
          </w:tcPr>
          <w:p w14:paraId="02C6B992" w14:textId="35CBF418" w:rsidR="002A131C" w:rsidRDefault="002A131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三、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财务理论基础</w:t>
            </w:r>
          </w:p>
        </w:tc>
      </w:tr>
      <w:tr w:rsidR="004120DC" w14:paraId="203F4D9C" w14:textId="77777777" w:rsidTr="00EF3687">
        <w:trPr>
          <w:trHeight w:val="1700"/>
        </w:trPr>
        <w:tc>
          <w:tcPr>
            <w:tcW w:w="2518" w:type="dxa"/>
            <w:vAlign w:val="center"/>
          </w:tcPr>
          <w:p w14:paraId="04CE986C" w14:textId="77777777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．资金时间价值</w:t>
            </w:r>
          </w:p>
        </w:tc>
        <w:tc>
          <w:tcPr>
            <w:tcW w:w="5150" w:type="dxa"/>
            <w:vAlign w:val="center"/>
          </w:tcPr>
          <w:p w14:paraId="04BA2B46" w14:textId="771333DB" w:rsidR="004120DC" w:rsidRDefault="00157E54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资金时间价值</w:t>
            </w:r>
            <w:r w:rsidR="00EF36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166190">
              <w:rPr>
                <w:rFonts w:ascii="Times New Roman" w:eastAsia="宋体" w:hAnsi="Times New Roman" w:cs="Times New Roman"/>
                <w:sz w:val="24"/>
                <w:szCs w:val="24"/>
              </w:rPr>
              <w:t>复利和年金概念；年金分类；复利终值与现值计算；普通年金</w:t>
            </w:r>
            <w:r w:rsidR="00EC5F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、预</w:t>
            </w:r>
            <w:r w:rsidR="00166190">
              <w:rPr>
                <w:rFonts w:ascii="Times New Roman" w:eastAsia="宋体" w:hAnsi="Times New Roman" w:cs="Times New Roman"/>
                <w:sz w:val="24"/>
                <w:szCs w:val="24"/>
              </w:rPr>
              <w:t>付年金</w:t>
            </w:r>
            <w:r w:rsidR="00EC5F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166190">
              <w:rPr>
                <w:rFonts w:ascii="Times New Roman" w:eastAsia="宋体" w:hAnsi="Times New Roman" w:cs="Times New Roman"/>
                <w:sz w:val="24"/>
                <w:szCs w:val="24"/>
              </w:rPr>
              <w:t>递延年金</w:t>
            </w:r>
            <w:r w:rsidR="00EC5F8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166190">
              <w:rPr>
                <w:rFonts w:ascii="Times New Roman" w:eastAsia="宋体" w:hAnsi="Times New Roman" w:cs="Times New Roman"/>
                <w:sz w:val="24"/>
                <w:szCs w:val="24"/>
              </w:rPr>
              <w:t>永续年金</w:t>
            </w:r>
            <w:r w:rsidR="00EF36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终值与</w:t>
            </w:r>
            <w:r w:rsidR="00166190">
              <w:rPr>
                <w:rFonts w:ascii="Times New Roman" w:eastAsia="宋体" w:hAnsi="Times New Roman" w:cs="Times New Roman"/>
                <w:sz w:val="24"/>
                <w:szCs w:val="24"/>
              </w:rPr>
              <w:t>现值</w:t>
            </w:r>
            <w:r w:rsidR="00EF36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166190">
              <w:rPr>
                <w:rFonts w:ascii="Times New Roman" w:eastAsia="宋体" w:hAnsi="Times New Roman" w:cs="Times New Roman"/>
                <w:sz w:val="24"/>
                <w:szCs w:val="24"/>
              </w:rPr>
              <w:t>计算</w:t>
            </w:r>
            <w:r w:rsidR="00EF36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="00166190">
              <w:rPr>
                <w:rFonts w:ascii="Times New Roman" w:eastAsia="宋体" w:hAnsi="Times New Roman" w:cs="Times New Roman"/>
                <w:sz w:val="24"/>
                <w:szCs w:val="24"/>
              </w:rPr>
              <w:t>折现率、期间的推算</w:t>
            </w:r>
          </w:p>
        </w:tc>
        <w:tc>
          <w:tcPr>
            <w:tcW w:w="1512" w:type="dxa"/>
            <w:vAlign w:val="center"/>
          </w:tcPr>
          <w:p w14:paraId="751ACD35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 w14:paraId="07C40690" w14:textId="77777777">
        <w:trPr>
          <w:trHeight w:val="383"/>
        </w:trPr>
        <w:tc>
          <w:tcPr>
            <w:tcW w:w="2518" w:type="dxa"/>
            <w:vMerge w:val="restart"/>
            <w:vAlign w:val="center"/>
          </w:tcPr>
          <w:p w14:paraId="37912E1E" w14:textId="07E90892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．风险</w:t>
            </w:r>
            <w:r w:rsidR="00EF36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与报酬</w:t>
            </w:r>
          </w:p>
        </w:tc>
        <w:tc>
          <w:tcPr>
            <w:tcW w:w="5150" w:type="dxa"/>
            <w:vAlign w:val="center"/>
          </w:tcPr>
          <w:p w14:paraId="57A30392" w14:textId="6F2413EF" w:rsidR="004120DC" w:rsidRDefault="00EF3687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报酬、</w:t>
            </w:r>
            <w:r w:rsidR="00166190">
              <w:rPr>
                <w:rFonts w:ascii="Times New Roman" w:eastAsia="宋体" w:hAnsi="Times New Roman" w:cs="Times New Roman"/>
                <w:sz w:val="24"/>
                <w:szCs w:val="24"/>
              </w:rPr>
              <w:t>风险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166190">
              <w:rPr>
                <w:rFonts w:ascii="Times New Roman" w:eastAsia="宋体" w:hAnsi="Times New Roman" w:cs="Times New Roman"/>
                <w:sz w:val="24"/>
                <w:szCs w:val="24"/>
              </w:rPr>
              <w:t>概念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和分类</w:t>
            </w:r>
            <w:r w:rsidR="00166190">
              <w:rPr>
                <w:rFonts w:ascii="Times New Roman" w:eastAsia="宋体" w:hAnsi="Times New Roman" w:cs="Times New Roman"/>
                <w:sz w:val="24"/>
                <w:szCs w:val="24"/>
              </w:rPr>
              <w:t>；风险的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衡量</w:t>
            </w:r>
            <w:r w:rsidR="00B674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 w:rsidR="00166190">
              <w:rPr>
                <w:rFonts w:ascii="Times New Roman" w:eastAsia="宋体" w:hAnsi="Times New Roman" w:cs="Times New Roman"/>
                <w:sz w:val="24"/>
                <w:szCs w:val="24"/>
              </w:rPr>
              <w:t>判断风险的大小</w:t>
            </w:r>
          </w:p>
        </w:tc>
        <w:tc>
          <w:tcPr>
            <w:tcW w:w="1512" w:type="dxa"/>
            <w:vAlign w:val="center"/>
          </w:tcPr>
          <w:p w14:paraId="23CCED9B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 w14:paraId="57D631B0" w14:textId="77777777">
        <w:trPr>
          <w:trHeight w:val="382"/>
        </w:trPr>
        <w:tc>
          <w:tcPr>
            <w:tcW w:w="2518" w:type="dxa"/>
            <w:vMerge/>
            <w:vAlign w:val="center"/>
          </w:tcPr>
          <w:p w14:paraId="063C7F15" w14:textId="77777777"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Align w:val="center"/>
          </w:tcPr>
          <w:p w14:paraId="59E40804" w14:textId="097588FA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风险报酬</w:t>
            </w:r>
            <w:r w:rsidR="00EF36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的含义；投资组合的风险和报酬；</w:t>
            </w:r>
            <w:r w:rsidR="00B66BD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资本资产定价模型与证券市场线</w:t>
            </w:r>
          </w:p>
        </w:tc>
        <w:tc>
          <w:tcPr>
            <w:tcW w:w="1512" w:type="dxa"/>
            <w:vAlign w:val="center"/>
          </w:tcPr>
          <w:p w14:paraId="1C1474EC" w14:textId="6B3B2E1C" w:rsidR="004120DC" w:rsidRDefault="00B66BD4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4120DC" w14:paraId="1FD6EF85" w14:textId="77777777">
        <w:tc>
          <w:tcPr>
            <w:tcW w:w="2518" w:type="dxa"/>
            <w:vAlign w:val="center"/>
          </w:tcPr>
          <w:p w14:paraId="4F3D105E" w14:textId="77777777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．利息率</w:t>
            </w:r>
          </w:p>
        </w:tc>
        <w:tc>
          <w:tcPr>
            <w:tcW w:w="5150" w:type="dxa"/>
            <w:vAlign w:val="center"/>
          </w:tcPr>
          <w:p w14:paraId="74A9C169" w14:textId="6AE34396" w:rsidR="004120DC" w:rsidRDefault="00B66BD4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报价利率与有效利率</w:t>
            </w:r>
            <w:r w:rsidR="001661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市场</w:t>
            </w:r>
            <w:r w:rsidR="00166190">
              <w:rPr>
                <w:rFonts w:ascii="Times New Roman" w:eastAsia="宋体" w:hAnsi="Times New Roman" w:cs="Times New Roman"/>
                <w:sz w:val="24"/>
                <w:szCs w:val="24"/>
              </w:rPr>
              <w:t>利率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的影响</w:t>
            </w:r>
            <w:r w:rsidR="00166190">
              <w:rPr>
                <w:rFonts w:ascii="Times New Roman" w:eastAsia="宋体" w:hAnsi="Times New Roman" w:cs="Times New Roman"/>
                <w:sz w:val="24"/>
                <w:szCs w:val="24"/>
              </w:rPr>
              <w:t>因素</w:t>
            </w:r>
          </w:p>
        </w:tc>
        <w:tc>
          <w:tcPr>
            <w:tcW w:w="1512" w:type="dxa"/>
            <w:vAlign w:val="center"/>
          </w:tcPr>
          <w:p w14:paraId="2F6DBC20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2A131C" w14:paraId="00007243" w14:textId="77777777" w:rsidTr="005F7E4A">
        <w:tc>
          <w:tcPr>
            <w:tcW w:w="9180" w:type="dxa"/>
            <w:gridSpan w:val="3"/>
            <w:vAlign w:val="center"/>
          </w:tcPr>
          <w:p w14:paraId="2559C5A8" w14:textId="22E7A091" w:rsidR="002A131C" w:rsidRDefault="002A131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四、筹资管理</w:t>
            </w:r>
          </w:p>
        </w:tc>
      </w:tr>
      <w:tr w:rsidR="004120DC" w14:paraId="33F599BA" w14:textId="77777777">
        <w:tc>
          <w:tcPr>
            <w:tcW w:w="2518" w:type="dxa"/>
            <w:vMerge w:val="restart"/>
            <w:vAlign w:val="center"/>
          </w:tcPr>
          <w:p w14:paraId="2C2C189B" w14:textId="00D5F898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．概述</w:t>
            </w:r>
          </w:p>
        </w:tc>
        <w:tc>
          <w:tcPr>
            <w:tcW w:w="5150" w:type="dxa"/>
            <w:vAlign w:val="center"/>
          </w:tcPr>
          <w:p w14:paraId="32B8C8DA" w14:textId="42BF46D8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筹资的分类、</w:t>
            </w:r>
            <w:r w:rsidR="001F0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动机、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筹资渠道与方式</w:t>
            </w:r>
          </w:p>
        </w:tc>
        <w:tc>
          <w:tcPr>
            <w:tcW w:w="1512" w:type="dxa"/>
            <w:vAlign w:val="center"/>
          </w:tcPr>
          <w:p w14:paraId="75FE32F3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 w14:paraId="02B73827" w14:textId="77777777">
        <w:tc>
          <w:tcPr>
            <w:tcW w:w="2518" w:type="dxa"/>
            <w:vMerge/>
            <w:vAlign w:val="center"/>
          </w:tcPr>
          <w:p w14:paraId="70173B60" w14:textId="77777777"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Align w:val="center"/>
          </w:tcPr>
          <w:p w14:paraId="464DC4AA" w14:textId="09CBD536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资金需要量预测的方法，包括销售百分比法和资金习性预测法</w:t>
            </w:r>
          </w:p>
        </w:tc>
        <w:tc>
          <w:tcPr>
            <w:tcW w:w="1512" w:type="dxa"/>
            <w:vAlign w:val="center"/>
          </w:tcPr>
          <w:p w14:paraId="307E9217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 w14:paraId="4C70E8D9" w14:textId="77777777">
        <w:tc>
          <w:tcPr>
            <w:tcW w:w="2518" w:type="dxa"/>
            <w:vAlign w:val="center"/>
          </w:tcPr>
          <w:p w14:paraId="49F1E1B2" w14:textId="0B01FFBC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</w:t>
            </w:r>
            <w:r w:rsidR="001F0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股权筹资</w:t>
            </w:r>
          </w:p>
        </w:tc>
        <w:tc>
          <w:tcPr>
            <w:tcW w:w="5150" w:type="dxa"/>
            <w:vAlign w:val="center"/>
          </w:tcPr>
          <w:p w14:paraId="5F6C45FA" w14:textId="0B1CCD99" w:rsidR="004120DC" w:rsidRDefault="006D6834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股权</w:t>
            </w:r>
            <w:r w:rsidR="00166190">
              <w:rPr>
                <w:rFonts w:ascii="Times New Roman" w:eastAsia="宋体" w:hAnsi="Times New Roman" w:cs="Times New Roman"/>
                <w:sz w:val="24"/>
                <w:szCs w:val="24"/>
              </w:rPr>
              <w:t>筹资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166190">
              <w:rPr>
                <w:rFonts w:ascii="Times New Roman" w:eastAsia="宋体" w:hAnsi="Times New Roman" w:cs="Times New Roman"/>
                <w:sz w:val="24"/>
                <w:szCs w:val="24"/>
              </w:rPr>
              <w:t>渠道、方式及其优缺点</w:t>
            </w:r>
          </w:p>
        </w:tc>
        <w:tc>
          <w:tcPr>
            <w:tcW w:w="1512" w:type="dxa"/>
            <w:vAlign w:val="center"/>
          </w:tcPr>
          <w:p w14:paraId="57C57045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 w14:paraId="02927139" w14:textId="77777777">
        <w:tc>
          <w:tcPr>
            <w:tcW w:w="2518" w:type="dxa"/>
            <w:vAlign w:val="center"/>
          </w:tcPr>
          <w:p w14:paraId="22A1A83F" w14:textId="3CA98C1F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53561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．</w:t>
            </w:r>
            <w:r w:rsidR="001F0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长期债务筹资</w:t>
            </w:r>
          </w:p>
        </w:tc>
        <w:tc>
          <w:tcPr>
            <w:tcW w:w="5150" w:type="dxa"/>
            <w:vAlign w:val="center"/>
          </w:tcPr>
          <w:p w14:paraId="2EC04371" w14:textId="51858A70" w:rsidR="004120DC" w:rsidRDefault="001F0D47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长期债务</w:t>
            </w:r>
            <w:r w:rsidR="006D683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166190">
              <w:rPr>
                <w:rFonts w:ascii="Times New Roman" w:eastAsia="宋体" w:hAnsi="Times New Roman" w:cs="Times New Roman"/>
                <w:sz w:val="24"/>
                <w:szCs w:val="24"/>
              </w:rPr>
              <w:t>筹资渠道、方式及其优缺点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；债券发行价格的计算</w:t>
            </w:r>
          </w:p>
        </w:tc>
        <w:tc>
          <w:tcPr>
            <w:tcW w:w="1512" w:type="dxa"/>
            <w:vAlign w:val="center"/>
          </w:tcPr>
          <w:p w14:paraId="20E815A0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1F0D47" w14:paraId="7282A975" w14:textId="77777777">
        <w:tc>
          <w:tcPr>
            <w:tcW w:w="2518" w:type="dxa"/>
            <w:vAlign w:val="center"/>
          </w:tcPr>
          <w:p w14:paraId="7F0EEE2E" w14:textId="7A014A39" w:rsidR="001F0D47" w:rsidRDefault="001F0D47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混合筹资</w:t>
            </w:r>
          </w:p>
        </w:tc>
        <w:tc>
          <w:tcPr>
            <w:tcW w:w="5150" w:type="dxa"/>
            <w:vAlign w:val="center"/>
          </w:tcPr>
          <w:p w14:paraId="7AD45358" w14:textId="4D7472ED" w:rsidR="001F0D47" w:rsidRDefault="001F0D47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混合筹资的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渠道、方式及其优缺点</w:t>
            </w:r>
          </w:p>
        </w:tc>
        <w:tc>
          <w:tcPr>
            <w:tcW w:w="1512" w:type="dxa"/>
            <w:vAlign w:val="center"/>
          </w:tcPr>
          <w:p w14:paraId="3E8E41E4" w14:textId="1B85F21E" w:rsidR="001F0D47" w:rsidRDefault="0009482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了解</w:t>
            </w:r>
          </w:p>
        </w:tc>
      </w:tr>
      <w:tr w:rsidR="002A131C" w14:paraId="215D9533" w14:textId="77777777" w:rsidTr="001C41F2">
        <w:tc>
          <w:tcPr>
            <w:tcW w:w="9180" w:type="dxa"/>
            <w:gridSpan w:val="3"/>
            <w:vAlign w:val="center"/>
          </w:tcPr>
          <w:p w14:paraId="2517E94A" w14:textId="0FF30B21" w:rsidR="002A131C" w:rsidRDefault="002A131C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五、资</w:t>
            </w:r>
            <w:r w:rsidR="0009482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成本与资金结构</w:t>
            </w:r>
          </w:p>
        </w:tc>
      </w:tr>
      <w:tr w:rsidR="004120DC" w14:paraId="4233163A" w14:textId="77777777">
        <w:tc>
          <w:tcPr>
            <w:tcW w:w="2518" w:type="dxa"/>
            <w:vAlign w:val="center"/>
          </w:tcPr>
          <w:p w14:paraId="1E318CC9" w14:textId="6C2EE2B8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．资</w:t>
            </w:r>
            <w:r w:rsidR="0009482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成本</w:t>
            </w:r>
          </w:p>
        </w:tc>
        <w:tc>
          <w:tcPr>
            <w:tcW w:w="5150" w:type="dxa"/>
            <w:vAlign w:val="center"/>
          </w:tcPr>
          <w:p w14:paraId="6DF2CAE4" w14:textId="0DA63081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资</w:t>
            </w:r>
            <w:r w:rsidR="00B674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成本概念</w:t>
            </w:r>
            <w:r w:rsidR="0009482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和种类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 w:rsidR="0009482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权益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资本成本</w:t>
            </w:r>
            <w:r w:rsidR="0009482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、债务资本成本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和加权平均资本成本的计算</w:t>
            </w:r>
            <w:r w:rsidR="0009482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边际资本成本</w:t>
            </w:r>
            <w:r w:rsidR="0009482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的含义和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计算</w:t>
            </w:r>
          </w:p>
        </w:tc>
        <w:tc>
          <w:tcPr>
            <w:tcW w:w="1512" w:type="dxa"/>
            <w:vAlign w:val="center"/>
          </w:tcPr>
          <w:p w14:paraId="165E7ECC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 w14:paraId="30A1948F" w14:textId="77777777">
        <w:tc>
          <w:tcPr>
            <w:tcW w:w="2518" w:type="dxa"/>
            <w:vAlign w:val="center"/>
          </w:tcPr>
          <w:p w14:paraId="3CE878CD" w14:textId="1DAAB2C6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．杠杆</w:t>
            </w:r>
            <w:r w:rsidR="0009482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效应</w:t>
            </w:r>
          </w:p>
        </w:tc>
        <w:tc>
          <w:tcPr>
            <w:tcW w:w="5150" w:type="dxa"/>
            <w:vAlign w:val="center"/>
          </w:tcPr>
          <w:p w14:paraId="3D6F201F" w14:textId="77B5AD00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成本习性</w:t>
            </w:r>
            <w:r w:rsidR="0009482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边际贡献、息税前利润的概念及计算；经营杠杆</w:t>
            </w:r>
            <w:r w:rsidR="0009482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财务杠杆</w:t>
            </w:r>
            <w:r w:rsidR="0009482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C40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杠杆</w:t>
            </w:r>
            <w:r w:rsidR="00FC40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概念、计量</w:t>
            </w:r>
            <w:r w:rsidR="00FC40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和评价</w:t>
            </w:r>
          </w:p>
        </w:tc>
        <w:tc>
          <w:tcPr>
            <w:tcW w:w="1512" w:type="dxa"/>
            <w:vAlign w:val="center"/>
          </w:tcPr>
          <w:p w14:paraId="6B302252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 w14:paraId="59E56554" w14:textId="77777777">
        <w:tc>
          <w:tcPr>
            <w:tcW w:w="2518" w:type="dxa"/>
            <w:vAlign w:val="center"/>
          </w:tcPr>
          <w:p w14:paraId="41CCF3A9" w14:textId="30775610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．资</w:t>
            </w:r>
            <w:r w:rsidR="0009482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结构</w:t>
            </w:r>
          </w:p>
        </w:tc>
        <w:tc>
          <w:tcPr>
            <w:tcW w:w="5150" w:type="dxa"/>
            <w:vAlign w:val="center"/>
          </w:tcPr>
          <w:p w14:paraId="6EAC7FB2" w14:textId="3F82A14D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资</w:t>
            </w:r>
            <w:r w:rsidR="0009482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结构的概念</w:t>
            </w:r>
            <w:r w:rsidR="00FC40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和影响因素</w:t>
            </w:r>
            <w:r w:rsidR="0009482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最优资金结构的确定方法（每股</w:t>
            </w:r>
            <w:r w:rsidR="00FC40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收益无差别点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法、资</w:t>
            </w:r>
            <w:r w:rsidR="00FC40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成本</w:t>
            </w:r>
            <w:r w:rsidR="00FC40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比较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法）</w:t>
            </w:r>
          </w:p>
        </w:tc>
        <w:tc>
          <w:tcPr>
            <w:tcW w:w="1512" w:type="dxa"/>
            <w:vAlign w:val="center"/>
          </w:tcPr>
          <w:p w14:paraId="6AABBFAE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2A131C" w14:paraId="624ED11B" w14:textId="77777777" w:rsidTr="00FF39E1">
        <w:tc>
          <w:tcPr>
            <w:tcW w:w="9180" w:type="dxa"/>
            <w:gridSpan w:val="3"/>
            <w:vAlign w:val="center"/>
          </w:tcPr>
          <w:p w14:paraId="7D91ED70" w14:textId="1E0778B5" w:rsidR="002A131C" w:rsidRDefault="002A131C" w:rsidP="006D6834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六、投资管理</w:t>
            </w:r>
          </w:p>
        </w:tc>
      </w:tr>
      <w:tr w:rsidR="004120DC" w14:paraId="64AD5362" w14:textId="77777777">
        <w:tc>
          <w:tcPr>
            <w:tcW w:w="2518" w:type="dxa"/>
            <w:vAlign w:val="center"/>
          </w:tcPr>
          <w:p w14:paraId="04B8D68C" w14:textId="3A576890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</w:t>
            </w:r>
            <w:r w:rsidR="00600BE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资本预算</w:t>
            </w:r>
          </w:p>
        </w:tc>
        <w:tc>
          <w:tcPr>
            <w:tcW w:w="5150" w:type="dxa"/>
            <w:vAlign w:val="center"/>
          </w:tcPr>
          <w:p w14:paraId="420B7540" w14:textId="412C3C8A" w:rsidR="004120DC" w:rsidRDefault="00600BE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资本预算的含义、范围及特点</w:t>
            </w:r>
          </w:p>
        </w:tc>
        <w:tc>
          <w:tcPr>
            <w:tcW w:w="1512" w:type="dxa"/>
          </w:tcPr>
          <w:p w14:paraId="4C9E0186" w14:textId="77777777" w:rsidR="004120DC" w:rsidRDefault="00166190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熟悉</w:t>
            </w:r>
          </w:p>
        </w:tc>
      </w:tr>
      <w:tr w:rsidR="004120DC" w14:paraId="6E49CF19" w14:textId="77777777">
        <w:tc>
          <w:tcPr>
            <w:tcW w:w="2518" w:type="dxa"/>
            <w:vAlign w:val="center"/>
          </w:tcPr>
          <w:p w14:paraId="6864D168" w14:textId="037EAB37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．现金流量</w:t>
            </w:r>
          </w:p>
        </w:tc>
        <w:tc>
          <w:tcPr>
            <w:tcW w:w="5150" w:type="dxa"/>
            <w:vAlign w:val="center"/>
          </w:tcPr>
          <w:p w14:paraId="7EC277D1" w14:textId="016D1CD8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现金流量的含义</w:t>
            </w:r>
            <w:r w:rsidR="005209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和作用；</w:t>
            </w:r>
            <w:r w:rsidR="00520953">
              <w:rPr>
                <w:rFonts w:ascii="Times New Roman" w:eastAsia="宋体" w:hAnsi="Times New Roman" w:cs="Times New Roman"/>
                <w:sz w:val="24"/>
                <w:szCs w:val="24"/>
              </w:rPr>
              <w:t>净现金流量含义</w:t>
            </w:r>
            <w:r w:rsidR="005209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、构成与估算</w:t>
            </w:r>
          </w:p>
        </w:tc>
        <w:tc>
          <w:tcPr>
            <w:tcW w:w="1512" w:type="dxa"/>
          </w:tcPr>
          <w:p w14:paraId="057B827E" w14:textId="0BF9950B" w:rsidR="004120DC" w:rsidRDefault="00520953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4120DC" w14:paraId="57B7935C" w14:textId="77777777">
        <w:tc>
          <w:tcPr>
            <w:tcW w:w="2518" w:type="dxa"/>
            <w:vAlign w:val="center"/>
          </w:tcPr>
          <w:p w14:paraId="209ADC2F" w14:textId="49CCF6F3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</w:t>
            </w:r>
            <w:r w:rsidR="005209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投资决策评价指标</w:t>
            </w:r>
          </w:p>
        </w:tc>
        <w:tc>
          <w:tcPr>
            <w:tcW w:w="5150" w:type="dxa"/>
            <w:vAlign w:val="center"/>
          </w:tcPr>
          <w:p w14:paraId="6FFDB257" w14:textId="7222E742" w:rsidR="004120DC" w:rsidRDefault="00520953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评价指标的分类</w:t>
            </w:r>
            <w:r w:rsidR="00B674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非折现评价指标的含义、特点及计算方法（投资利润率、静态投资回收期）；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折现评价指标的含义、特点及计算方法（净现值、现值指数、内含报酬率、年均净现值）</w:t>
            </w:r>
          </w:p>
        </w:tc>
        <w:tc>
          <w:tcPr>
            <w:tcW w:w="1512" w:type="dxa"/>
            <w:vAlign w:val="center"/>
          </w:tcPr>
          <w:p w14:paraId="72AFA771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掌握</w:t>
            </w:r>
          </w:p>
        </w:tc>
      </w:tr>
      <w:tr w:rsidR="004120DC" w14:paraId="3E684F18" w14:textId="77777777">
        <w:tc>
          <w:tcPr>
            <w:tcW w:w="2518" w:type="dxa"/>
            <w:vAlign w:val="center"/>
          </w:tcPr>
          <w:p w14:paraId="389D0D42" w14:textId="6F366954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．投资</w:t>
            </w:r>
            <w:r w:rsidR="005209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项目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决策运用</w:t>
            </w:r>
          </w:p>
        </w:tc>
        <w:tc>
          <w:tcPr>
            <w:tcW w:w="5150" w:type="dxa"/>
            <w:vAlign w:val="center"/>
          </w:tcPr>
          <w:p w14:paraId="7C1278D6" w14:textId="4375B002" w:rsidR="004120DC" w:rsidRDefault="00520953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各投资评价</w:t>
            </w:r>
            <w:r w:rsidR="00166190">
              <w:rPr>
                <w:rFonts w:ascii="Times New Roman" w:eastAsia="宋体" w:hAnsi="Times New Roman" w:cs="Times New Roman"/>
                <w:sz w:val="24"/>
                <w:szCs w:val="24"/>
              </w:rPr>
              <w:t>指标之间的关系；利用上述评价指标对投资项目财务可行性进行分析评价</w:t>
            </w:r>
          </w:p>
        </w:tc>
        <w:tc>
          <w:tcPr>
            <w:tcW w:w="1512" w:type="dxa"/>
            <w:vAlign w:val="center"/>
          </w:tcPr>
          <w:p w14:paraId="6BB29E1A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2A131C" w14:paraId="15DCDE67" w14:textId="77777777" w:rsidTr="005D7871">
        <w:tc>
          <w:tcPr>
            <w:tcW w:w="9180" w:type="dxa"/>
            <w:gridSpan w:val="3"/>
            <w:vAlign w:val="center"/>
          </w:tcPr>
          <w:p w14:paraId="311F3910" w14:textId="4CE848B0" w:rsidR="002A131C" w:rsidRDefault="002A131C" w:rsidP="0009482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七、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价值评估</w:t>
            </w:r>
          </w:p>
        </w:tc>
      </w:tr>
      <w:tr w:rsidR="004120DC" w14:paraId="75BF9B37" w14:textId="77777777">
        <w:tc>
          <w:tcPr>
            <w:tcW w:w="2518" w:type="dxa"/>
            <w:vAlign w:val="center"/>
          </w:tcPr>
          <w:p w14:paraId="3842DF47" w14:textId="2E426D41" w:rsidR="004120DC" w:rsidRDefault="002B071E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166190">
              <w:rPr>
                <w:rFonts w:ascii="Times New Roman" w:eastAsia="宋体" w:hAnsi="Times New Roman" w:cs="Times New Roman"/>
                <w:sz w:val="24"/>
                <w:szCs w:val="24"/>
              </w:rPr>
              <w:t>．债券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价值评估</w:t>
            </w:r>
          </w:p>
        </w:tc>
        <w:tc>
          <w:tcPr>
            <w:tcW w:w="5150" w:type="dxa"/>
            <w:vAlign w:val="center"/>
          </w:tcPr>
          <w:p w14:paraId="787C6E46" w14:textId="7456CB4C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债券</w:t>
            </w:r>
            <w:r w:rsidR="002A13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价值的计算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="002B071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模型</w:t>
            </w:r>
            <w:r w:rsidR="002B071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一次还本付息</w:t>
            </w:r>
            <w:r w:rsidR="002B071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模型、折现发行模型）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 w:rsidR="002B071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债券价值的影响因素；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债券</w:t>
            </w:r>
            <w:r w:rsidR="002A13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收益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率的计算</w:t>
            </w:r>
          </w:p>
        </w:tc>
        <w:tc>
          <w:tcPr>
            <w:tcW w:w="1512" w:type="dxa"/>
            <w:vAlign w:val="center"/>
          </w:tcPr>
          <w:p w14:paraId="589F63AC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 w14:paraId="68B9D16D" w14:textId="77777777">
        <w:trPr>
          <w:trHeight w:val="383"/>
        </w:trPr>
        <w:tc>
          <w:tcPr>
            <w:tcW w:w="2518" w:type="dxa"/>
            <w:vAlign w:val="center"/>
          </w:tcPr>
          <w:p w14:paraId="52B29619" w14:textId="41449229" w:rsidR="004120DC" w:rsidRDefault="002A131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166190">
              <w:rPr>
                <w:rFonts w:ascii="Times New Roman" w:eastAsia="宋体" w:hAnsi="Times New Roman" w:cs="Times New Roman"/>
                <w:sz w:val="24"/>
                <w:szCs w:val="24"/>
              </w:rPr>
              <w:t>．股票</w:t>
            </w:r>
            <w:r w:rsidR="002B071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价值评估</w:t>
            </w:r>
          </w:p>
        </w:tc>
        <w:tc>
          <w:tcPr>
            <w:tcW w:w="5150" w:type="dxa"/>
            <w:vAlign w:val="center"/>
          </w:tcPr>
          <w:p w14:paraId="28352682" w14:textId="541087D0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股票</w:t>
            </w:r>
            <w:r w:rsidR="002A13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价值的计算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="002A13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基本模型、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固定成长模型；零成长模型；非</w:t>
            </w:r>
            <w:r w:rsidR="002A13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固定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成长股票估</w:t>
            </w:r>
            <w:r w:rsidR="002A13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值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模型）；利用证券估</w:t>
            </w:r>
            <w:r w:rsidR="00B674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值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模型做出投资决策；股票</w:t>
            </w:r>
            <w:r w:rsidR="002A13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收益率的计算</w:t>
            </w:r>
          </w:p>
        </w:tc>
        <w:tc>
          <w:tcPr>
            <w:tcW w:w="1512" w:type="dxa"/>
            <w:vAlign w:val="center"/>
          </w:tcPr>
          <w:p w14:paraId="1A131282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2A131C" w14:paraId="351A256C" w14:textId="77777777" w:rsidTr="008A14A1">
        <w:tc>
          <w:tcPr>
            <w:tcW w:w="9180" w:type="dxa"/>
            <w:gridSpan w:val="3"/>
            <w:vAlign w:val="center"/>
          </w:tcPr>
          <w:p w14:paraId="66D5DA07" w14:textId="294E91F2" w:rsidR="002A131C" w:rsidRDefault="002A131C" w:rsidP="00980BB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八、营运资本管理</w:t>
            </w:r>
          </w:p>
        </w:tc>
      </w:tr>
      <w:tr w:rsidR="004120DC" w14:paraId="690406E9" w14:textId="77777777">
        <w:tc>
          <w:tcPr>
            <w:tcW w:w="2518" w:type="dxa"/>
            <w:vAlign w:val="center"/>
          </w:tcPr>
          <w:p w14:paraId="471A62C5" w14:textId="18F5AF30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．概述</w:t>
            </w:r>
          </w:p>
        </w:tc>
        <w:tc>
          <w:tcPr>
            <w:tcW w:w="5150" w:type="dxa"/>
            <w:vAlign w:val="center"/>
          </w:tcPr>
          <w:p w14:paraId="5A4C04CB" w14:textId="220F86E0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营运资本的概念；</w:t>
            </w:r>
            <w:r w:rsidR="00B2142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现金周期的计算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；营运资本的</w:t>
            </w:r>
            <w:r w:rsidR="00B2142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管理策略</w:t>
            </w:r>
          </w:p>
        </w:tc>
        <w:tc>
          <w:tcPr>
            <w:tcW w:w="1512" w:type="dxa"/>
            <w:vAlign w:val="center"/>
          </w:tcPr>
          <w:p w14:paraId="3160C8CC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 w14:paraId="3F3CFB08" w14:textId="77777777">
        <w:tc>
          <w:tcPr>
            <w:tcW w:w="2518" w:type="dxa"/>
            <w:vAlign w:val="center"/>
          </w:tcPr>
          <w:p w14:paraId="5A89F973" w14:textId="77777777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．现金管理</w:t>
            </w:r>
          </w:p>
        </w:tc>
        <w:tc>
          <w:tcPr>
            <w:tcW w:w="5150" w:type="dxa"/>
            <w:vAlign w:val="center"/>
          </w:tcPr>
          <w:p w14:paraId="7A33A4B0" w14:textId="42F10561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现金的持有动机；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最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佳现金</w:t>
            </w:r>
            <w:r w:rsidR="009D07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余额的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确定（成本分析模式、存货模式</w:t>
            </w:r>
            <w:r w:rsidR="009D07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、随机模式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）；现金日常管理</w:t>
            </w:r>
          </w:p>
        </w:tc>
        <w:tc>
          <w:tcPr>
            <w:tcW w:w="1512" w:type="dxa"/>
            <w:vAlign w:val="center"/>
          </w:tcPr>
          <w:p w14:paraId="2A41F411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9D070D" w14:paraId="4508D62A" w14:textId="77777777" w:rsidTr="00E279F9">
        <w:trPr>
          <w:trHeight w:val="738"/>
        </w:trPr>
        <w:tc>
          <w:tcPr>
            <w:tcW w:w="2518" w:type="dxa"/>
            <w:vAlign w:val="center"/>
          </w:tcPr>
          <w:p w14:paraId="217726FE" w14:textId="4F3879B8" w:rsidR="009D070D" w:rsidRDefault="009D070D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．应收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款项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管理</w:t>
            </w:r>
          </w:p>
        </w:tc>
        <w:tc>
          <w:tcPr>
            <w:tcW w:w="5150" w:type="dxa"/>
            <w:vAlign w:val="center"/>
          </w:tcPr>
          <w:p w14:paraId="731FA3E1" w14:textId="3258BFF0" w:rsidR="009D070D" w:rsidRDefault="009D070D" w:rsidP="00920949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应收账款的功能与成本；信用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标准、信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用条件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收账政策；信用政策的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决策；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应收账款日常管理</w:t>
            </w:r>
          </w:p>
        </w:tc>
        <w:tc>
          <w:tcPr>
            <w:tcW w:w="1512" w:type="dxa"/>
            <w:vAlign w:val="center"/>
          </w:tcPr>
          <w:p w14:paraId="1FDEE521" w14:textId="77777777" w:rsidR="009D070D" w:rsidRDefault="009D070D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 w14:paraId="2CDFB90E" w14:textId="77777777">
        <w:tc>
          <w:tcPr>
            <w:tcW w:w="2518" w:type="dxa"/>
            <w:vMerge w:val="restart"/>
            <w:vAlign w:val="center"/>
          </w:tcPr>
          <w:p w14:paraId="0C994371" w14:textId="77269622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．存货</w:t>
            </w:r>
            <w:r w:rsidR="009D07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</w:t>
            </w:r>
          </w:p>
        </w:tc>
        <w:tc>
          <w:tcPr>
            <w:tcW w:w="5150" w:type="dxa"/>
            <w:vAlign w:val="center"/>
          </w:tcPr>
          <w:p w14:paraId="6EBCF973" w14:textId="2DAE181B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存货</w:t>
            </w:r>
            <w:r w:rsidR="009D07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储存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9D07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动因与成本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；经济</w:t>
            </w:r>
            <w:r w:rsidR="009D07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订货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批量基本模型；经济订货批量的扩展模型</w:t>
            </w:r>
          </w:p>
        </w:tc>
        <w:tc>
          <w:tcPr>
            <w:tcW w:w="1512" w:type="dxa"/>
            <w:vAlign w:val="center"/>
          </w:tcPr>
          <w:p w14:paraId="62BAA1D8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 w14:paraId="49B42DA5" w14:textId="77777777">
        <w:tc>
          <w:tcPr>
            <w:tcW w:w="2518" w:type="dxa"/>
            <w:vMerge/>
            <w:vAlign w:val="center"/>
          </w:tcPr>
          <w:p w14:paraId="1DCB22E8" w14:textId="77777777" w:rsidR="004120DC" w:rsidRDefault="004120DC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Align w:val="center"/>
          </w:tcPr>
          <w:p w14:paraId="1506E970" w14:textId="77777777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ABC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控制法、适时制库存控制系统</w:t>
            </w:r>
          </w:p>
        </w:tc>
        <w:tc>
          <w:tcPr>
            <w:tcW w:w="1512" w:type="dxa"/>
            <w:vAlign w:val="center"/>
          </w:tcPr>
          <w:p w14:paraId="45362848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9D070D" w14:paraId="0C8AD398" w14:textId="77777777">
        <w:tc>
          <w:tcPr>
            <w:tcW w:w="2518" w:type="dxa"/>
            <w:vAlign w:val="center"/>
          </w:tcPr>
          <w:p w14:paraId="21EC918F" w14:textId="73AEEF19" w:rsidR="009D070D" w:rsidRDefault="009D070D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短期筹资管理</w:t>
            </w:r>
          </w:p>
        </w:tc>
        <w:tc>
          <w:tcPr>
            <w:tcW w:w="5150" w:type="dxa"/>
            <w:vAlign w:val="center"/>
          </w:tcPr>
          <w:p w14:paraId="0B98DD6A" w14:textId="271F5475" w:rsidR="009D070D" w:rsidRDefault="00C376C6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短期筹资特点和渠道；各种短期筹资方式的特点</w:t>
            </w:r>
          </w:p>
        </w:tc>
        <w:tc>
          <w:tcPr>
            <w:tcW w:w="1512" w:type="dxa"/>
            <w:vAlign w:val="center"/>
          </w:tcPr>
          <w:p w14:paraId="0272E369" w14:textId="06F40E60" w:rsidR="009D070D" w:rsidRDefault="00C376C6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了解</w:t>
            </w:r>
          </w:p>
        </w:tc>
      </w:tr>
      <w:tr w:rsidR="00980BB9" w14:paraId="43525500" w14:textId="77777777" w:rsidTr="00CF20BA">
        <w:tc>
          <w:tcPr>
            <w:tcW w:w="9180" w:type="dxa"/>
            <w:gridSpan w:val="3"/>
            <w:vAlign w:val="center"/>
          </w:tcPr>
          <w:p w14:paraId="08CD340C" w14:textId="33A6E18E" w:rsidR="00980BB9" w:rsidRDefault="00980BB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九、收益分配</w:t>
            </w:r>
          </w:p>
        </w:tc>
      </w:tr>
      <w:tr w:rsidR="00980BB9" w14:paraId="153B3988" w14:textId="77777777" w:rsidTr="00A11A32">
        <w:trPr>
          <w:trHeight w:val="866"/>
        </w:trPr>
        <w:tc>
          <w:tcPr>
            <w:tcW w:w="2518" w:type="dxa"/>
            <w:vAlign w:val="center"/>
          </w:tcPr>
          <w:p w14:paraId="4893BF86" w14:textId="11539A89" w:rsidR="00980BB9" w:rsidRDefault="00980BB9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．概述</w:t>
            </w:r>
          </w:p>
        </w:tc>
        <w:tc>
          <w:tcPr>
            <w:tcW w:w="5150" w:type="dxa"/>
            <w:vAlign w:val="center"/>
          </w:tcPr>
          <w:p w14:paraId="672743A8" w14:textId="347898F7" w:rsidR="00980BB9" w:rsidRDefault="00980BB9" w:rsidP="00486689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收益分配的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顺序和影响因素；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股利支付方式；股利支付程序</w:t>
            </w:r>
          </w:p>
        </w:tc>
        <w:tc>
          <w:tcPr>
            <w:tcW w:w="1512" w:type="dxa"/>
            <w:vAlign w:val="center"/>
          </w:tcPr>
          <w:p w14:paraId="685B64E9" w14:textId="77777777" w:rsidR="00980BB9" w:rsidRDefault="00980BB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  <w:tr w:rsidR="004120DC" w14:paraId="2401A741" w14:textId="77777777">
        <w:tc>
          <w:tcPr>
            <w:tcW w:w="2518" w:type="dxa"/>
            <w:vAlign w:val="center"/>
          </w:tcPr>
          <w:p w14:paraId="437DF18B" w14:textId="46C5B367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</w:t>
            </w:r>
            <w:r w:rsidR="00A11A3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股利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政策</w:t>
            </w:r>
          </w:p>
        </w:tc>
        <w:tc>
          <w:tcPr>
            <w:tcW w:w="5150" w:type="dxa"/>
            <w:vAlign w:val="center"/>
          </w:tcPr>
          <w:p w14:paraId="51A83078" w14:textId="053F5CC6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剩余股利政策；固定股利政策；固定股利</w:t>
            </w:r>
            <w:r w:rsidR="00A11A3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支付率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政策；</w:t>
            </w:r>
            <w:r w:rsidR="00A11A3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低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正常股利加额外股利政策</w:t>
            </w:r>
          </w:p>
        </w:tc>
        <w:tc>
          <w:tcPr>
            <w:tcW w:w="1512" w:type="dxa"/>
            <w:vAlign w:val="center"/>
          </w:tcPr>
          <w:p w14:paraId="3C5856AB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掌握</w:t>
            </w:r>
          </w:p>
        </w:tc>
      </w:tr>
      <w:tr w:rsidR="004120DC" w14:paraId="7A699CFC" w14:textId="77777777">
        <w:tc>
          <w:tcPr>
            <w:tcW w:w="2518" w:type="dxa"/>
            <w:vAlign w:val="center"/>
          </w:tcPr>
          <w:p w14:paraId="6E7A26E0" w14:textId="77777777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．股票股利与股票分割</w:t>
            </w:r>
          </w:p>
        </w:tc>
        <w:tc>
          <w:tcPr>
            <w:tcW w:w="5150" w:type="dxa"/>
            <w:vAlign w:val="center"/>
          </w:tcPr>
          <w:p w14:paraId="5F325D67" w14:textId="77777777" w:rsidR="004120DC" w:rsidRDefault="00166190">
            <w:pPr>
              <w:tabs>
                <w:tab w:val="left" w:pos="2340"/>
              </w:tabs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股票股利的含义及对公司和股东的影响；股票分割的含义及对公司和股东的影响</w:t>
            </w:r>
          </w:p>
        </w:tc>
        <w:tc>
          <w:tcPr>
            <w:tcW w:w="1512" w:type="dxa"/>
            <w:vAlign w:val="center"/>
          </w:tcPr>
          <w:p w14:paraId="2A362657" w14:textId="77777777" w:rsidR="004120DC" w:rsidRDefault="00166190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了解</w:t>
            </w:r>
          </w:p>
        </w:tc>
      </w:tr>
    </w:tbl>
    <w:p w14:paraId="29720393" w14:textId="77777777" w:rsidR="004120DC" w:rsidRDefault="004120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FFDB2C" w14:textId="77777777" w:rsidR="004120DC" w:rsidRDefault="001661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二、考试形式和考试题型</w:t>
      </w:r>
    </w:p>
    <w:p w14:paraId="1387E660" w14:textId="77777777"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．考试形式</w:t>
      </w:r>
    </w:p>
    <w:p w14:paraId="5F9DBDFA" w14:textId="40A230B3" w:rsidR="004120DC" w:rsidRDefault="00166190">
      <w:pPr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闭卷，笔试，</w:t>
      </w:r>
      <w:r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>分钟（可以</w:t>
      </w:r>
      <w:r>
        <w:rPr>
          <w:rFonts w:ascii="Times New Roman" w:hAnsi="Times New Roman" w:cs="Times New Roman" w:hint="eastAsia"/>
          <w:sz w:val="24"/>
          <w:szCs w:val="24"/>
        </w:rPr>
        <w:t>使用</w:t>
      </w:r>
      <w:r>
        <w:rPr>
          <w:rFonts w:hint="eastAsia"/>
          <w:sz w:val="24"/>
        </w:rPr>
        <w:t>不含储存</w:t>
      </w:r>
      <w:r w:rsidR="007170BB">
        <w:rPr>
          <w:rFonts w:hint="eastAsia"/>
          <w:sz w:val="24"/>
        </w:rPr>
        <w:t>记忆与编程</w:t>
      </w:r>
      <w:r>
        <w:rPr>
          <w:rFonts w:hint="eastAsia"/>
          <w:sz w:val="24"/>
        </w:rPr>
        <w:t>功能的简易计算器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418DF623" w14:textId="77777777"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．考试题型</w:t>
      </w:r>
    </w:p>
    <w:p w14:paraId="7E288024" w14:textId="77777777"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）单项选择题（本类题共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题，每小题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分，共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分）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14:paraId="72C8E6B4" w14:textId="77777777"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）多项选择题（本类题共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题，每小题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分，共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分。多选、少选、错选、不选，均不得分）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14:paraId="20476A86" w14:textId="77777777"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）判断题（本类题共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题，每小题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分，共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分。每小题判断结果正确的得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分，全部选择正确或错误的本类题不得分，判断错误或不判断的不得分也不扣分）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14:paraId="6ECE5624" w14:textId="62036BBE"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）计算题（本类题共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题，每</w:t>
      </w:r>
      <w:r w:rsidR="00BD43E6">
        <w:rPr>
          <w:rFonts w:ascii="Times New Roman" w:hAnsi="Times New Roman" w:cs="Times New Roman" w:hint="eastAsia"/>
          <w:sz w:val="24"/>
          <w:szCs w:val="24"/>
        </w:rPr>
        <w:t>小</w:t>
      </w:r>
      <w:r>
        <w:rPr>
          <w:rFonts w:ascii="Times New Roman" w:hAnsi="Times New Roman" w:cs="Times New Roman"/>
          <w:sz w:val="24"/>
          <w:szCs w:val="24"/>
        </w:rPr>
        <w:t>题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分，共</w:t>
      </w:r>
      <w:r>
        <w:rPr>
          <w:rFonts w:ascii="Times New Roman" w:hAnsi="Times New Roman" w:cs="Times New Roman"/>
          <w:sz w:val="24"/>
          <w:szCs w:val="24"/>
        </w:rPr>
        <w:t>4</w:t>
      </w:r>
      <w:r w:rsidR="00BD43E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分）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14:paraId="7CCB9D82" w14:textId="21876391"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）综合题（本类题共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题，</w:t>
      </w:r>
      <w:r w:rsidR="00BD43E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分）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2A667CF0" w14:textId="77777777" w:rsidR="004120DC" w:rsidRDefault="00166190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试卷满分</w:t>
      </w:r>
      <w:r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分。</w:t>
      </w:r>
    </w:p>
    <w:p w14:paraId="38D3CEA4" w14:textId="77777777" w:rsidR="004120DC" w:rsidRDefault="004120DC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30AB400C" w14:textId="77777777" w:rsidR="004120DC" w:rsidRDefault="001661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三、主要参考教材</w:t>
      </w:r>
    </w:p>
    <w:p w14:paraId="7E86DDCD" w14:textId="77777777" w:rsidR="004120DC" w:rsidRDefault="001661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《财务管理》蒋平</w:t>
      </w:r>
      <w:r>
        <w:rPr>
          <w:rFonts w:ascii="Times New Roman" w:hAnsi="Times New Roman" w:cs="Times New Roman" w:hint="eastAsia"/>
          <w:sz w:val="24"/>
          <w:szCs w:val="24"/>
        </w:rPr>
        <w:t>、刘梅</w:t>
      </w:r>
      <w:r>
        <w:rPr>
          <w:rFonts w:ascii="Times New Roman" w:hAnsi="Times New Roman" w:cs="Times New Roman"/>
          <w:sz w:val="24"/>
          <w:szCs w:val="24"/>
        </w:rPr>
        <w:t>主编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立信会计出版社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 w:hint="eastAsia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月第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版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 xml:space="preserve">ISBN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978-7-5429-</w:t>
      </w:r>
      <w:r>
        <w:rPr>
          <w:rFonts w:ascii="Times New Roman" w:hAnsi="Times New Roman" w:cs="Times New Roman" w:hint="eastAsia"/>
          <w:sz w:val="24"/>
          <w:szCs w:val="24"/>
        </w:rPr>
        <w:t>6273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7/F</w:t>
      </w:r>
    </w:p>
    <w:p w14:paraId="44E08A86" w14:textId="488D5F77" w:rsidR="004120DC" w:rsidRDefault="004120DC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4120D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498D2" w14:textId="77777777" w:rsidR="00E5417C" w:rsidRDefault="00E5417C">
      <w:r>
        <w:separator/>
      </w:r>
    </w:p>
  </w:endnote>
  <w:endnote w:type="continuationSeparator" w:id="0">
    <w:p w14:paraId="767A94CA" w14:textId="77777777" w:rsidR="00E5417C" w:rsidRDefault="00E5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4554865"/>
      <w:docPartObj>
        <w:docPartGallery w:val="AutoText"/>
      </w:docPartObj>
    </w:sdtPr>
    <w:sdtEndPr/>
    <w:sdtContent>
      <w:p w14:paraId="1966A001" w14:textId="77777777" w:rsidR="004120DC" w:rsidRDefault="001661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B9F" w:rsidRPr="00920B9F">
          <w:rPr>
            <w:noProof/>
            <w:lang w:val="zh-CN"/>
          </w:rPr>
          <w:t>1</w:t>
        </w:r>
        <w:r>
          <w:fldChar w:fldCharType="end"/>
        </w:r>
      </w:p>
    </w:sdtContent>
  </w:sdt>
  <w:p w14:paraId="1114F353" w14:textId="77777777" w:rsidR="004120DC" w:rsidRDefault="004120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52DF3" w14:textId="77777777" w:rsidR="00E5417C" w:rsidRDefault="00E5417C">
      <w:r>
        <w:separator/>
      </w:r>
    </w:p>
  </w:footnote>
  <w:footnote w:type="continuationSeparator" w:id="0">
    <w:p w14:paraId="705FDB10" w14:textId="77777777" w:rsidR="00E5417C" w:rsidRDefault="00E54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545"/>
    <w:rsid w:val="00012C15"/>
    <w:rsid w:val="0003770A"/>
    <w:rsid w:val="0005298A"/>
    <w:rsid w:val="00065383"/>
    <w:rsid w:val="00081317"/>
    <w:rsid w:val="000910CE"/>
    <w:rsid w:val="00094820"/>
    <w:rsid w:val="000B43BE"/>
    <w:rsid w:val="000E234A"/>
    <w:rsid w:val="0010106C"/>
    <w:rsid w:val="00157E54"/>
    <w:rsid w:val="0016355B"/>
    <w:rsid w:val="00166190"/>
    <w:rsid w:val="001A3F85"/>
    <w:rsid w:val="001C2E88"/>
    <w:rsid w:val="001C4AE4"/>
    <w:rsid w:val="001E73F0"/>
    <w:rsid w:val="001F0D47"/>
    <w:rsid w:val="00275592"/>
    <w:rsid w:val="00295FEB"/>
    <w:rsid w:val="002A131C"/>
    <w:rsid w:val="002A5259"/>
    <w:rsid w:val="002B071E"/>
    <w:rsid w:val="002C3ABC"/>
    <w:rsid w:val="002E74E7"/>
    <w:rsid w:val="00303C9E"/>
    <w:rsid w:val="003A7FAA"/>
    <w:rsid w:val="003D6B7A"/>
    <w:rsid w:val="003F105E"/>
    <w:rsid w:val="003F7CD4"/>
    <w:rsid w:val="004120DC"/>
    <w:rsid w:val="00463B65"/>
    <w:rsid w:val="004663DB"/>
    <w:rsid w:val="004757EE"/>
    <w:rsid w:val="00495F55"/>
    <w:rsid w:val="004D1CC0"/>
    <w:rsid w:val="004D41B8"/>
    <w:rsid w:val="004D7E15"/>
    <w:rsid w:val="004F7D7C"/>
    <w:rsid w:val="00520953"/>
    <w:rsid w:val="005273BF"/>
    <w:rsid w:val="005347C9"/>
    <w:rsid w:val="0053561B"/>
    <w:rsid w:val="00550F8D"/>
    <w:rsid w:val="0055557A"/>
    <w:rsid w:val="0055646E"/>
    <w:rsid w:val="00574F98"/>
    <w:rsid w:val="005870BE"/>
    <w:rsid w:val="00600BE0"/>
    <w:rsid w:val="00633262"/>
    <w:rsid w:val="00633587"/>
    <w:rsid w:val="0064032D"/>
    <w:rsid w:val="00657D79"/>
    <w:rsid w:val="006D6834"/>
    <w:rsid w:val="006E0B13"/>
    <w:rsid w:val="006F44AE"/>
    <w:rsid w:val="0070188A"/>
    <w:rsid w:val="007170BB"/>
    <w:rsid w:val="0072191F"/>
    <w:rsid w:val="00766EAA"/>
    <w:rsid w:val="007759A0"/>
    <w:rsid w:val="007850EC"/>
    <w:rsid w:val="007965BA"/>
    <w:rsid w:val="007A4463"/>
    <w:rsid w:val="007B2BEC"/>
    <w:rsid w:val="007B7392"/>
    <w:rsid w:val="00831B28"/>
    <w:rsid w:val="008371F4"/>
    <w:rsid w:val="00881859"/>
    <w:rsid w:val="008C2D28"/>
    <w:rsid w:val="008C68A8"/>
    <w:rsid w:val="008F1950"/>
    <w:rsid w:val="00920B9F"/>
    <w:rsid w:val="0092513D"/>
    <w:rsid w:val="009602B3"/>
    <w:rsid w:val="00980BB9"/>
    <w:rsid w:val="009A2E9C"/>
    <w:rsid w:val="009B5627"/>
    <w:rsid w:val="009C2270"/>
    <w:rsid w:val="009D070D"/>
    <w:rsid w:val="00A11A32"/>
    <w:rsid w:val="00A66E06"/>
    <w:rsid w:val="00AC5A7D"/>
    <w:rsid w:val="00AC7C06"/>
    <w:rsid w:val="00AF1DD4"/>
    <w:rsid w:val="00AF2ED2"/>
    <w:rsid w:val="00B13755"/>
    <w:rsid w:val="00B2142E"/>
    <w:rsid w:val="00B36496"/>
    <w:rsid w:val="00B44773"/>
    <w:rsid w:val="00B57B28"/>
    <w:rsid w:val="00B66BD4"/>
    <w:rsid w:val="00B67451"/>
    <w:rsid w:val="00B70C32"/>
    <w:rsid w:val="00BB1062"/>
    <w:rsid w:val="00BC5E69"/>
    <w:rsid w:val="00BD36DD"/>
    <w:rsid w:val="00BD43E6"/>
    <w:rsid w:val="00C0777B"/>
    <w:rsid w:val="00C376C6"/>
    <w:rsid w:val="00C61A69"/>
    <w:rsid w:val="00C628BE"/>
    <w:rsid w:val="00C81545"/>
    <w:rsid w:val="00C83975"/>
    <w:rsid w:val="00CA6FF7"/>
    <w:rsid w:val="00CC7FB1"/>
    <w:rsid w:val="00CD6358"/>
    <w:rsid w:val="00D10C78"/>
    <w:rsid w:val="00D60CD3"/>
    <w:rsid w:val="00D81D25"/>
    <w:rsid w:val="00D9167D"/>
    <w:rsid w:val="00DB35DC"/>
    <w:rsid w:val="00DC6EE2"/>
    <w:rsid w:val="00DE2107"/>
    <w:rsid w:val="00E27C3F"/>
    <w:rsid w:val="00E34512"/>
    <w:rsid w:val="00E5417C"/>
    <w:rsid w:val="00E67431"/>
    <w:rsid w:val="00E70CED"/>
    <w:rsid w:val="00E8690B"/>
    <w:rsid w:val="00E90D60"/>
    <w:rsid w:val="00EC07AE"/>
    <w:rsid w:val="00EC5F8C"/>
    <w:rsid w:val="00EE26D5"/>
    <w:rsid w:val="00EF3687"/>
    <w:rsid w:val="00F21B12"/>
    <w:rsid w:val="00F27E05"/>
    <w:rsid w:val="00F31A3A"/>
    <w:rsid w:val="00F35DE0"/>
    <w:rsid w:val="00F56C0B"/>
    <w:rsid w:val="00FC4044"/>
    <w:rsid w:val="00FD7E53"/>
    <w:rsid w:val="628C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B656DE"/>
  <w15:docId w15:val="{53764B2D-C339-4B06-ACEF-0E6CFD7A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widowControl/>
      <w:tabs>
        <w:tab w:val="center" w:pos="4153"/>
        <w:tab w:val="right" w:pos="8306"/>
      </w:tabs>
      <w:jc w:val="left"/>
    </w:pPr>
    <w:rPr>
      <w:rFonts w:ascii="Times New Roman" w:hAnsi="Times New Roman" w:cs="Times New Roman"/>
      <w:kern w:val="0"/>
      <w:sz w:val="24"/>
      <w:szCs w:val="24"/>
      <w:lang w:val="en-AU" w:eastAsia="en-AU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rFonts w:ascii="Times New Roman" w:hAnsi="Times New Roman" w:cs="Times New Roman"/>
      <w:kern w:val="0"/>
      <w:sz w:val="24"/>
      <w:szCs w:val="24"/>
      <w:lang w:val="en-AU" w:eastAsia="en-AU"/>
    </w:rPr>
  </w:style>
  <w:style w:type="paragraph" w:customStyle="1" w:styleId="SubjNameNo">
    <w:name w:val="SubjName&amp;No"/>
    <w:basedOn w:val="a"/>
    <w:qFormat/>
    <w:pPr>
      <w:widowControl/>
      <w:jc w:val="center"/>
    </w:pPr>
    <w:rPr>
      <w:rFonts w:ascii="Times New Roman" w:hAnsi="Times New Roman" w:cs="Times New Roman"/>
      <w:b/>
      <w:kern w:val="0"/>
      <w:sz w:val="32"/>
      <w:szCs w:val="20"/>
      <w:lang w:val="en-AU" w:eastAsia="en-US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339</Words>
  <Characters>1936</Characters>
  <Application>Microsoft Office Word</Application>
  <DocSecurity>0</DocSecurity>
  <Lines>16</Lines>
  <Paragraphs>4</Paragraphs>
  <ScaleCrop>false</ScaleCrop>
  <Company>微软中国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christinajp@163.com</cp:lastModifiedBy>
  <cp:revision>18</cp:revision>
  <dcterms:created xsi:type="dcterms:W3CDTF">2019-11-15T09:06:00Z</dcterms:created>
  <dcterms:modified xsi:type="dcterms:W3CDTF">2022-02-23T11:58:00Z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