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9668D" w14:textId="77777777" w:rsidR="003625DD" w:rsidRDefault="002618DD">
      <w:pPr>
        <w:pStyle w:val="1"/>
        <w:widowControl/>
        <w:pBdr>
          <w:bottom w:val="single" w:sz="12" w:space="3" w:color="CC3300"/>
        </w:pBdr>
        <w:shd w:val="clear" w:color="auto" w:fill="FFFFFF"/>
        <w:spacing w:line="360" w:lineRule="exact"/>
        <w:jc w:val="center"/>
        <w:rPr>
          <w:rFonts w:ascii="微软雅黑" w:eastAsia="微软雅黑" w:hAnsi="微软雅黑" w:cs="微软雅黑" w:hint="default"/>
          <w:sz w:val="28"/>
          <w:szCs w:val="21"/>
        </w:rPr>
      </w:pPr>
      <w:r>
        <w:rPr>
          <w:rFonts w:ascii="微软雅黑" w:eastAsia="微软雅黑" w:hAnsi="微软雅黑" w:cs="微软雅黑"/>
          <w:sz w:val="28"/>
          <w:szCs w:val="21"/>
          <w:shd w:val="clear" w:color="auto" w:fill="FFFFFF"/>
        </w:rPr>
        <w:t>上海建桥学院专升本【护理综合】课程考试大纲</w:t>
      </w:r>
    </w:p>
    <w:p w14:paraId="53C028C1" w14:textId="77777777" w:rsidR="003625DD" w:rsidRDefault="002618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一、考试目标</w:t>
      </w:r>
    </w:p>
    <w:p w14:paraId="0DE865EF" w14:textId="77777777" w:rsidR="003625DD" w:rsidRDefault="003625DD">
      <w:pPr>
        <w:spacing w:line="360" w:lineRule="auto"/>
      </w:pPr>
    </w:p>
    <w:p w14:paraId="279B31EE" w14:textId="77777777" w:rsidR="003625DD" w:rsidRDefault="002618DD">
      <w:pPr>
        <w:spacing w:line="360" w:lineRule="auto"/>
        <w:ind w:firstLineChars="200" w:firstLine="420"/>
      </w:pPr>
      <w:r>
        <w:rPr>
          <w:rFonts w:hint="eastAsia"/>
        </w:rPr>
        <w:t>测试学生获得从事护理工作所必需的基本理论、基本知识和基本技能，以及运用与护理工作相关的知识，有效而安全地完成护理工作的能力。</w:t>
      </w:r>
    </w:p>
    <w:p w14:paraId="07D74278" w14:textId="77777777" w:rsidR="003625DD" w:rsidRDefault="003625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681DA240" w14:textId="77777777" w:rsidR="003625DD" w:rsidRDefault="002618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二、考试细则</w:t>
      </w:r>
    </w:p>
    <w:p w14:paraId="53E654FB" w14:textId="77777777" w:rsidR="003625DD" w:rsidRDefault="003625DD">
      <w:pPr>
        <w:pStyle w:val="a7"/>
        <w:widowControl/>
        <w:shd w:val="clear" w:color="auto" w:fill="FFFFFF"/>
        <w:adjustRightInd w:val="0"/>
        <w:snapToGrid w:val="0"/>
        <w:spacing w:before="60" w:beforeAutospacing="0" w:afterAutospacing="0" w:line="360" w:lineRule="auto"/>
        <w:rPr>
          <w:rFonts w:cstheme="minorBidi"/>
          <w:kern w:val="2"/>
          <w:sz w:val="21"/>
          <w:szCs w:val="22"/>
        </w:rPr>
      </w:pPr>
    </w:p>
    <w:p w14:paraId="4656F1F5" w14:textId="72671C0A" w:rsidR="003625DD" w:rsidRDefault="002618DD">
      <w:pPr>
        <w:pStyle w:val="a7"/>
        <w:widowControl/>
        <w:shd w:val="clear" w:color="auto" w:fill="FFFFFF"/>
        <w:adjustRightInd w:val="0"/>
        <w:snapToGrid w:val="0"/>
        <w:spacing w:beforeAutospacing="0" w:afterAutospacing="0" w:line="360" w:lineRule="auto"/>
        <w:rPr>
          <w:rFonts w:cstheme="minorBidi"/>
          <w:kern w:val="2"/>
          <w:sz w:val="21"/>
          <w:szCs w:val="22"/>
        </w:rPr>
      </w:pPr>
      <w:r>
        <w:rPr>
          <w:rFonts w:cstheme="minorBidi" w:hint="eastAsia"/>
          <w:kern w:val="2"/>
          <w:sz w:val="21"/>
          <w:szCs w:val="22"/>
        </w:rPr>
        <w:t>1.</w:t>
      </w:r>
      <w:r>
        <w:rPr>
          <w:rFonts w:cstheme="minorBidi" w:hint="eastAsia"/>
          <w:kern w:val="2"/>
          <w:sz w:val="21"/>
          <w:szCs w:val="22"/>
        </w:rPr>
        <w:t>报考要求：专科所学专业必须是护理</w:t>
      </w:r>
      <w:r>
        <w:rPr>
          <w:rFonts w:cstheme="minorBidi" w:hint="eastAsia"/>
          <w:kern w:val="2"/>
          <w:sz w:val="21"/>
          <w:szCs w:val="22"/>
        </w:rPr>
        <w:t>或助产</w:t>
      </w:r>
      <w:r>
        <w:rPr>
          <w:rFonts w:cstheme="minorBidi" w:hint="eastAsia"/>
          <w:kern w:val="2"/>
          <w:sz w:val="21"/>
          <w:szCs w:val="22"/>
        </w:rPr>
        <w:t>。</w:t>
      </w:r>
    </w:p>
    <w:p w14:paraId="108D1681" w14:textId="77777777" w:rsidR="003625DD" w:rsidRDefault="002618DD">
      <w:pPr>
        <w:pStyle w:val="a7"/>
        <w:widowControl/>
        <w:shd w:val="clear" w:color="auto" w:fill="FFFFFF"/>
        <w:adjustRightInd w:val="0"/>
        <w:snapToGrid w:val="0"/>
        <w:spacing w:beforeAutospacing="0" w:afterAutospacing="0" w:line="360" w:lineRule="auto"/>
        <w:rPr>
          <w:rFonts w:cstheme="minorBidi"/>
          <w:kern w:val="2"/>
          <w:sz w:val="21"/>
          <w:szCs w:val="22"/>
        </w:rPr>
      </w:pPr>
      <w:r>
        <w:rPr>
          <w:rFonts w:cstheme="minorBidi" w:hint="eastAsia"/>
          <w:kern w:val="2"/>
          <w:sz w:val="21"/>
          <w:szCs w:val="22"/>
        </w:rPr>
        <w:t>2.</w:t>
      </w:r>
      <w:r>
        <w:rPr>
          <w:rFonts w:cstheme="minorBidi" w:hint="eastAsia"/>
          <w:kern w:val="2"/>
          <w:sz w:val="21"/>
          <w:szCs w:val="22"/>
        </w:rPr>
        <w:t>考试内容：包括护理学导论和基础护理学两部分。</w:t>
      </w:r>
    </w:p>
    <w:p w14:paraId="0FA505D1" w14:textId="77777777" w:rsidR="003625DD" w:rsidRDefault="002618DD">
      <w:pPr>
        <w:pStyle w:val="a7"/>
        <w:widowControl/>
        <w:shd w:val="clear" w:color="auto" w:fill="FFFFFF"/>
        <w:adjustRightInd w:val="0"/>
        <w:snapToGrid w:val="0"/>
        <w:spacing w:beforeAutospacing="0" w:afterAutospacing="0" w:line="360" w:lineRule="auto"/>
        <w:rPr>
          <w:rFonts w:cstheme="minorBidi"/>
          <w:kern w:val="2"/>
          <w:sz w:val="21"/>
          <w:szCs w:val="22"/>
        </w:rPr>
      </w:pPr>
      <w:r>
        <w:rPr>
          <w:rFonts w:cstheme="minorBidi" w:hint="eastAsia"/>
          <w:kern w:val="2"/>
          <w:sz w:val="21"/>
          <w:szCs w:val="22"/>
        </w:rPr>
        <w:t>3.</w:t>
      </w:r>
      <w:r>
        <w:rPr>
          <w:rFonts w:cstheme="minorBidi" w:hint="eastAsia"/>
          <w:kern w:val="2"/>
          <w:sz w:val="21"/>
          <w:szCs w:val="22"/>
        </w:rPr>
        <w:t>考试形式及时间：考试形式为闭卷笔试，试卷满分为</w:t>
      </w:r>
      <w:r>
        <w:rPr>
          <w:rFonts w:cstheme="minorBidi" w:hint="eastAsia"/>
          <w:kern w:val="2"/>
          <w:sz w:val="21"/>
          <w:szCs w:val="22"/>
        </w:rPr>
        <w:t>100</w:t>
      </w:r>
      <w:r>
        <w:rPr>
          <w:rFonts w:cstheme="minorBidi" w:hint="eastAsia"/>
          <w:kern w:val="2"/>
          <w:sz w:val="21"/>
          <w:szCs w:val="22"/>
        </w:rPr>
        <w:t>分，考试时间为</w:t>
      </w:r>
      <w:r>
        <w:rPr>
          <w:rFonts w:cstheme="minorBidi" w:hint="eastAsia"/>
          <w:kern w:val="2"/>
          <w:sz w:val="21"/>
          <w:szCs w:val="22"/>
        </w:rPr>
        <w:t>120</w:t>
      </w:r>
      <w:r>
        <w:rPr>
          <w:rFonts w:cstheme="minorBidi" w:hint="eastAsia"/>
          <w:kern w:val="2"/>
          <w:sz w:val="21"/>
          <w:szCs w:val="22"/>
        </w:rPr>
        <w:t>分钟。</w:t>
      </w:r>
    </w:p>
    <w:p w14:paraId="48DCEA2F" w14:textId="77777777" w:rsidR="003625DD" w:rsidRDefault="002618DD">
      <w:pPr>
        <w:pStyle w:val="a7"/>
        <w:widowControl/>
        <w:shd w:val="clear" w:color="auto" w:fill="FFFFFF"/>
        <w:adjustRightInd w:val="0"/>
        <w:snapToGrid w:val="0"/>
        <w:spacing w:beforeAutospacing="0" w:afterAutospacing="0" w:line="360" w:lineRule="auto"/>
        <w:rPr>
          <w:rFonts w:cstheme="minorBidi"/>
          <w:kern w:val="2"/>
          <w:sz w:val="21"/>
          <w:szCs w:val="22"/>
        </w:rPr>
      </w:pPr>
      <w:r>
        <w:rPr>
          <w:rFonts w:cstheme="minorBidi" w:hint="eastAsia"/>
          <w:kern w:val="2"/>
          <w:sz w:val="21"/>
          <w:szCs w:val="22"/>
        </w:rPr>
        <w:t>4.</w:t>
      </w:r>
      <w:r>
        <w:rPr>
          <w:rFonts w:cstheme="minorBidi" w:hint="eastAsia"/>
          <w:kern w:val="2"/>
          <w:sz w:val="21"/>
          <w:szCs w:val="22"/>
        </w:rPr>
        <w:t>题型及分值：名词解释（</w:t>
      </w:r>
      <w:r>
        <w:rPr>
          <w:rFonts w:cstheme="minorBidi" w:hint="eastAsia"/>
          <w:kern w:val="2"/>
          <w:sz w:val="21"/>
          <w:szCs w:val="22"/>
        </w:rPr>
        <w:t>5</w:t>
      </w:r>
      <w:r>
        <w:rPr>
          <w:rFonts w:cstheme="minorBidi" w:hint="eastAsia"/>
          <w:kern w:val="2"/>
          <w:sz w:val="21"/>
          <w:szCs w:val="22"/>
        </w:rPr>
        <w:t>题，</w:t>
      </w:r>
      <w:r>
        <w:rPr>
          <w:rFonts w:cstheme="minorBidi" w:hint="eastAsia"/>
          <w:kern w:val="2"/>
          <w:sz w:val="21"/>
          <w:szCs w:val="22"/>
        </w:rPr>
        <w:t>20</w:t>
      </w:r>
      <w:r>
        <w:rPr>
          <w:rFonts w:cstheme="minorBidi" w:hint="eastAsia"/>
          <w:kern w:val="2"/>
          <w:sz w:val="21"/>
          <w:szCs w:val="22"/>
        </w:rPr>
        <w:t>分）、选择题（</w:t>
      </w:r>
      <w:r>
        <w:rPr>
          <w:rFonts w:cstheme="minorBidi" w:hint="eastAsia"/>
          <w:kern w:val="2"/>
          <w:sz w:val="21"/>
          <w:szCs w:val="22"/>
        </w:rPr>
        <w:t>40</w:t>
      </w:r>
      <w:r>
        <w:rPr>
          <w:rFonts w:cstheme="minorBidi" w:hint="eastAsia"/>
          <w:kern w:val="2"/>
          <w:sz w:val="21"/>
          <w:szCs w:val="22"/>
        </w:rPr>
        <w:t>题，</w:t>
      </w:r>
      <w:r>
        <w:rPr>
          <w:rFonts w:cstheme="minorBidi" w:hint="eastAsia"/>
          <w:kern w:val="2"/>
          <w:sz w:val="21"/>
          <w:szCs w:val="22"/>
        </w:rPr>
        <w:t>40</w:t>
      </w:r>
      <w:r>
        <w:rPr>
          <w:rFonts w:cstheme="minorBidi" w:hint="eastAsia"/>
          <w:kern w:val="2"/>
          <w:sz w:val="21"/>
          <w:szCs w:val="22"/>
        </w:rPr>
        <w:t>分）、简答题（</w:t>
      </w:r>
      <w:r>
        <w:rPr>
          <w:rFonts w:cstheme="minorBidi" w:hint="eastAsia"/>
          <w:kern w:val="2"/>
          <w:sz w:val="21"/>
          <w:szCs w:val="22"/>
        </w:rPr>
        <w:t>4</w:t>
      </w:r>
      <w:r>
        <w:rPr>
          <w:rFonts w:cstheme="minorBidi" w:hint="eastAsia"/>
          <w:kern w:val="2"/>
          <w:sz w:val="21"/>
          <w:szCs w:val="22"/>
        </w:rPr>
        <w:t>题，</w:t>
      </w:r>
      <w:r>
        <w:rPr>
          <w:rFonts w:cstheme="minorBidi" w:hint="eastAsia"/>
          <w:kern w:val="2"/>
          <w:sz w:val="21"/>
          <w:szCs w:val="22"/>
        </w:rPr>
        <w:t>20</w:t>
      </w:r>
      <w:r>
        <w:rPr>
          <w:rFonts w:cstheme="minorBidi" w:hint="eastAsia"/>
          <w:kern w:val="2"/>
          <w:sz w:val="21"/>
          <w:szCs w:val="22"/>
        </w:rPr>
        <w:t>分）、案例分析题（</w:t>
      </w:r>
      <w:r>
        <w:rPr>
          <w:rFonts w:cstheme="minorBidi" w:hint="eastAsia"/>
          <w:kern w:val="2"/>
          <w:sz w:val="21"/>
          <w:szCs w:val="22"/>
        </w:rPr>
        <w:t>2</w:t>
      </w:r>
      <w:r>
        <w:rPr>
          <w:rFonts w:cstheme="minorBidi" w:hint="eastAsia"/>
          <w:kern w:val="2"/>
          <w:sz w:val="21"/>
          <w:szCs w:val="22"/>
        </w:rPr>
        <w:t>题，</w:t>
      </w:r>
      <w:r>
        <w:rPr>
          <w:rFonts w:cstheme="minorBidi" w:hint="eastAsia"/>
          <w:kern w:val="2"/>
          <w:sz w:val="21"/>
          <w:szCs w:val="22"/>
        </w:rPr>
        <w:t>20</w:t>
      </w:r>
      <w:r>
        <w:rPr>
          <w:rFonts w:cstheme="minorBidi" w:hint="eastAsia"/>
          <w:kern w:val="2"/>
          <w:sz w:val="21"/>
          <w:szCs w:val="22"/>
        </w:rPr>
        <w:t>分）。</w:t>
      </w:r>
    </w:p>
    <w:p w14:paraId="5E10DCF2" w14:textId="77777777" w:rsidR="003625DD" w:rsidRDefault="003625DD">
      <w:pPr>
        <w:pStyle w:val="a7"/>
        <w:widowControl/>
        <w:shd w:val="clear" w:color="auto" w:fill="FFFFFF"/>
        <w:adjustRightInd w:val="0"/>
        <w:snapToGrid w:val="0"/>
        <w:spacing w:beforeAutospacing="0" w:afterAutospacing="0" w:line="360" w:lineRule="auto"/>
        <w:rPr>
          <w:rFonts w:cstheme="minorBidi"/>
          <w:kern w:val="2"/>
          <w:sz w:val="21"/>
          <w:szCs w:val="22"/>
        </w:rPr>
      </w:pPr>
    </w:p>
    <w:p w14:paraId="47F921E1" w14:textId="77777777" w:rsidR="003625DD" w:rsidRDefault="002618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三、试卷题型及分值分布要求</w:t>
      </w:r>
    </w:p>
    <w:p w14:paraId="3B959925" w14:textId="77777777" w:rsidR="003625DD" w:rsidRDefault="003625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tbl>
      <w:tblPr>
        <w:tblW w:w="507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205"/>
        <w:gridCol w:w="2865"/>
      </w:tblGrid>
      <w:tr w:rsidR="003625DD" w14:paraId="1C80D13C" w14:textId="77777777">
        <w:trPr>
          <w:jc w:val="center"/>
        </w:trPr>
        <w:tc>
          <w:tcPr>
            <w:tcW w:w="2205"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vAlign w:val="center"/>
          </w:tcPr>
          <w:p w14:paraId="7520E333"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题型</w:t>
            </w:r>
          </w:p>
        </w:tc>
        <w:tc>
          <w:tcPr>
            <w:tcW w:w="2865" w:type="dxa"/>
            <w:tcBorders>
              <w:top w:val="single" w:sz="6" w:space="0" w:color="000000"/>
              <w:left w:val="nil"/>
              <w:bottom w:val="single" w:sz="6" w:space="0" w:color="000000"/>
              <w:right w:val="single" w:sz="6" w:space="0" w:color="000000"/>
            </w:tcBorders>
            <w:shd w:val="clear" w:color="auto" w:fill="FFFFFF"/>
            <w:tcMar>
              <w:left w:w="105" w:type="dxa"/>
              <w:right w:w="105" w:type="dxa"/>
            </w:tcMar>
            <w:vAlign w:val="center"/>
          </w:tcPr>
          <w:p w14:paraId="09B915AA"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分值</w:t>
            </w:r>
          </w:p>
        </w:tc>
      </w:tr>
      <w:tr w:rsidR="003625DD" w14:paraId="5530AAE2" w14:textId="77777777">
        <w:trPr>
          <w:jc w:val="center"/>
        </w:trPr>
        <w:tc>
          <w:tcPr>
            <w:tcW w:w="2205"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14E7A04C"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名词解释</w:t>
            </w:r>
          </w:p>
        </w:tc>
        <w:tc>
          <w:tcPr>
            <w:tcW w:w="286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14FD519D"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20</w:t>
            </w:r>
          </w:p>
        </w:tc>
      </w:tr>
      <w:tr w:rsidR="003625DD" w14:paraId="4C61F248" w14:textId="77777777">
        <w:trPr>
          <w:jc w:val="center"/>
        </w:trPr>
        <w:tc>
          <w:tcPr>
            <w:tcW w:w="2205"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47187871"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选择题</w:t>
            </w:r>
          </w:p>
        </w:tc>
        <w:tc>
          <w:tcPr>
            <w:tcW w:w="286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10D166D0"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40</w:t>
            </w:r>
          </w:p>
        </w:tc>
      </w:tr>
      <w:tr w:rsidR="003625DD" w14:paraId="13629AFE" w14:textId="77777777">
        <w:trPr>
          <w:jc w:val="center"/>
        </w:trPr>
        <w:tc>
          <w:tcPr>
            <w:tcW w:w="2205"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6498A140"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简答题</w:t>
            </w:r>
          </w:p>
        </w:tc>
        <w:tc>
          <w:tcPr>
            <w:tcW w:w="286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4E6F0012"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20</w:t>
            </w:r>
          </w:p>
        </w:tc>
      </w:tr>
      <w:tr w:rsidR="003625DD" w14:paraId="77D9D908" w14:textId="77777777">
        <w:trPr>
          <w:jc w:val="center"/>
        </w:trPr>
        <w:tc>
          <w:tcPr>
            <w:tcW w:w="2205"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48E0BDB1"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案例分析题</w:t>
            </w:r>
          </w:p>
        </w:tc>
        <w:tc>
          <w:tcPr>
            <w:tcW w:w="286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70DA0AB6"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20</w:t>
            </w:r>
          </w:p>
        </w:tc>
      </w:tr>
      <w:tr w:rsidR="003625DD" w14:paraId="0BFE35AD" w14:textId="77777777">
        <w:trPr>
          <w:jc w:val="center"/>
        </w:trPr>
        <w:tc>
          <w:tcPr>
            <w:tcW w:w="2205"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7B67FDEA"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合计</w:t>
            </w:r>
          </w:p>
        </w:tc>
        <w:tc>
          <w:tcPr>
            <w:tcW w:w="286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5F84FD81"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100</w:t>
            </w:r>
          </w:p>
        </w:tc>
      </w:tr>
    </w:tbl>
    <w:p w14:paraId="325DF255" w14:textId="77777777" w:rsidR="003625DD" w:rsidRDefault="003625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59268177" w14:textId="77777777" w:rsidR="003625DD" w:rsidRDefault="002618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四、考试内容和要求</w:t>
      </w:r>
    </w:p>
    <w:p w14:paraId="3541A339" w14:textId="77777777" w:rsidR="003625DD" w:rsidRDefault="003625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321F9840" w14:textId="77777777" w:rsidR="003625DD" w:rsidRDefault="002618DD">
      <w:pPr>
        <w:pStyle w:val="a7"/>
        <w:widowControl/>
        <w:shd w:val="clear" w:color="auto" w:fill="FFFFFF"/>
        <w:spacing w:before="60" w:beforeAutospacing="0" w:afterAutospacing="0" w:line="360" w:lineRule="exact"/>
        <w:rPr>
          <w:rFonts w:cstheme="minorBidi"/>
          <w:b/>
          <w:kern w:val="2"/>
          <w:sz w:val="21"/>
          <w:szCs w:val="22"/>
        </w:rPr>
      </w:pPr>
      <w:r>
        <w:rPr>
          <w:rFonts w:cstheme="minorBidi" w:hint="eastAsia"/>
          <w:b/>
          <w:kern w:val="2"/>
          <w:sz w:val="21"/>
          <w:szCs w:val="22"/>
        </w:rPr>
        <w:t>（一）护理学导论</w:t>
      </w:r>
    </w:p>
    <w:p w14:paraId="0120A13A" w14:textId="77777777" w:rsidR="003625DD" w:rsidRDefault="003625DD">
      <w:pPr>
        <w:pStyle w:val="a7"/>
        <w:widowControl/>
        <w:shd w:val="clear" w:color="auto" w:fill="FFFFFF"/>
        <w:spacing w:before="60" w:beforeAutospacing="0" w:afterAutospacing="0" w:line="360" w:lineRule="exact"/>
        <w:ind w:left="720"/>
        <w:rPr>
          <w:rFonts w:cstheme="minorBidi"/>
          <w:b/>
          <w:kern w:val="2"/>
          <w:sz w:val="21"/>
          <w:szCs w:val="22"/>
        </w:rPr>
      </w:pPr>
    </w:p>
    <w:tbl>
      <w:tblPr>
        <w:tblStyle w:val="a8"/>
        <w:tblW w:w="9391" w:type="dxa"/>
        <w:tblLook w:val="04A0" w:firstRow="1" w:lastRow="0" w:firstColumn="1" w:lastColumn="0" w:noHBand="0" w:noVBand="1"/>
      </w:tblPr>
      <w:tblGrid>
        <w:gridCol w:w="1242"/>
        <w:gridCol w:w="1843"/>
        <w:gridCol w:w="6306"/>
      </w:tblGrid>
      <w:tr w:rsidR="003625DD" w14:paraId="502611F1" w14:textId="77777777">
        <w:trPr>
          <w:trHeight w:val="545"/>
        </w:trPr>
        <w:tc>
          <w:tcPr>
            <w:tcW w:w="1242" w:type="dxa"/>
          </w:tcPr>
          <w:p w14:paraId="5BD5D69B" w14:textId="77777777" w:rsidR="003625DD" w:rsidRDefault="002618DD">
            <w:pPr>
              <w:pStyle w:val="a7"/>
              <w:widowControl/>
              <w:spacing w:before="60" w:beforeAutospacing="0" w:afterAutospacing="0" w:line="360" w:lineRule="exact"/>
              <w:jc w:val="center"/>
              <w:rPr>
                <w:rFonts w:ascii="微软雅黑" w:eastAsia="微软雅黑" w:hAnsi="微软雅黑" w:cs="微软雅黑"/>
                <w:b/>
                <w:bCs/>
                <w:sz w:val="21"/>
                <w:szCs w:val="21"/>
                <w:shd w:val="clear" w:color="auto" w:fill="FFFFFF"/>
              </w:rPr>
            </w:pPr>
            <w:r>
              <w:rPr>
                <w:rFonts w:ascii="微软雅黑" w:eastAsia="微软雅黑" w:hAnsi="微软雅黑" w:cs="微软雅黑" w:hint="eastAsia"/>
                <w:b/>
                <w:bCs/>
                <w:sz w:val="21"/>
                <w:szCs w:val="21"/>
                <w:shd w:val="clear" w:color="auto" w:fill="FFFFFF"/>
              </w:rPr>
              <w:t>序号</w:t>
            </w:r>
          </w:p>
        </w:tc>
        <w:tc>
          <w:tcPr>
            <w:tcW w:w="1843" w:type="dxa"/>
          </w:tcPr>
          <w:p w14:paraId="3596DC6A" w14:textId="77777777" w:rsidR="003625DD" w:rsidRDefault="002618DD">
            <w:pPr>
              <w:pStyle w:val="a7"/>
              <w:widowControl/>
              <w:spacing w:before="60" w:beforeAutospacing="0" w:afterAutospacing="0" w:line="360" w:lineRule="exact"/>
              <w:jc w:val="center"/>
              <w:rPr>
                <w:rFonts w:ascii="微软雅黑" w:eastAsia="微软雅黑" w:hAnsi="微软雅黑" w:cs="微软雅黑"/>
                <w:b/>
                <w:bCs/>
                <w:sz w:val="21"/>
                <w:szCs w:val="21"/>
                <w:shd w:val="clear" w:color="auto" w:fill="FFFFFF"/>
              </w:rPr>
            </w:pPr>
            <w:r>
              <w:rPr>
                <w:rFonts w:ascii="微软雅黑" w:eastAsia="微软雅黑" w:hAnsi="微软雅黑" w:cs="微软雅黑" w:hint="eastAsia"/>
                <w:b/>
                <w:bCs/>
                <w:sz w:val="21"/>
                <w:szCs w:val="21"/>
                <w:shd w:val="clear" w:color="auto" w:fill="FFFFFF"/>
              </w:rPr>
              <w:t>内容</w:t>
            </w:r>
          </w:p>
        </w:tc>
        <w:tc>
          <w:tcPr>
            <w:tcW w:w="6306" w:type="dxa"/>
          </w:tcPr>
          <w:p w14:paraId="7792A738" w14:textId="77777777" w:rsidR="003625DD" w:rsidRDefault="002618DD">
            <w:pPr>
              <w:pStyle w:val="a7"/>
              <w:widowControl/>
              <w:spacing w:before="60" w:beforeAutospacing="0" w:afterAutospacing="0" w:line="360" w:lineRule="exact"/>
              <w:jc w:val="center"/>
              <w:rPr>
                <w:rFonts w:ascii="微软雅黑" w:eastAsia="微软雅黑" w:hAnsi="微软雅黑" w:cs="微软雅黑"/>
                <w:b/>
                <w:bCs/>
                <w:sz w:val="21"/>
                <w:szCs w:val="21"/>
                <w:shd w:val="clear" w:color="auto" w:fill="FFFFFF"/>
              </w:rPr>
            </w:pPr>
            <w:r>
              <w:rPr>
                <w:rFonts w:ascii="微软雅黑" w:eastAsia="微软雅黑" w:hAnsi="微软雅黑" w:cs="微软雅黑" w:hint="eastAsia"/>
                <w:b/>
                <w:bCs/>
                <w:sz w:val="21"/>
                <w:szCs w:val="21"/>
                <w:shd w:val="clear" w:color="auto" w:fill="FFFFFF"/>
              </w:rPr>
              <w:t>要求</w:t>
            </w:r>
          </w:p>
        </w:tc>
      </w:tr>
      <w:tr w:rsidR="003625DD" w14:paraId="34973DDC" w14:textId="77777777">
        <w:trPr>
          <w:trHeight w:val="545"/>
        </w:trPr>
        <w:tc>
          <w:tcPr>
            <w:tcW w:w="1242" w:type="dxa"/>
            <w:vAlign w:val="center"/>
          </w:tcPr>
          <w:p w14:paraId="5F8B3B77"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1</w:t>
            </w:r>
          </w:p>
        </w:tc>
        <w:tc>
          <w:tcPr>
            <w:tcW w:w="1843" w:type="dxa"/>
            <w:vAlign w:val="center"/>
          </w:tcPr>
          <w:p w14:paraId="7B753A2A"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护理学的发展及基本概念</w:t>
            </w:r>
          </w:p>
        </w:tc>
        <w:tc>
          <w:tcPr>
            <w:tcW w:w="6306" w:type="dxa"/>
            <w:vAlign w:val="center"/>
          </w:tcPr>
          <w:p w14:paraId="5B4559B6"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w:t>
            </w:r>
            <w:r>
              <w:rPr>
                <w:rFonts w:ascii="宋体" w:eastAsia="宋体" w:hAnsi="宋体" w:cs="Times New Roman" w:hint="eastAsia"/>
                <w:color w:val="000000"/>
                <w:szCs w:val="21"/>
              </w:rPr>
              <w:t>知道护理学的发展、演变过程及每个阶段的发展特点、南丁格尔对护理学发展的贡献、护理专业的工作范畴。</w:t>
            </w:r>
          </w:p>
          <w:p w14:paraId="0E8F9015"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w:t>
            </w:r>
            <w:r>
              <w:rPr>
                <w:rFonts w:ascii="宋体" w:eastAsia="宋体" w:hAnsi="宋体" w:cs="Times New Roman" w:hint="eastAsia"/>
                <w:color w:val="000000"/>
                <w:szCs w:val="21"/>
              </w:rPr>
              <w:t>理解护理概念的</w:t>
            </w:r>
            <w:r>
              <w:rPr>
                <w:rFonts w:ascii="宋体" w:eastAsia="宋体" w:hAnsi="宋体" w:cs="Times New Roman" w:hint="eastAsia"/>
                <w:color w:val="000000"/>
                <w:szCs w:val="21"/>
              </w:rPr>
              <w:t>三</w:t>
            </w:r>
            <w:r>
              <w:rPr>
                <w:rFonts w:ascii="宋体" w:eastAsia="宋体" w:hAnsi="宋体" w:cs="Times New Roman" w:hint="eastAsia"/>
                <w:color w:val="000000"/>
                <w:szCs w:val="21"/>
              </w:rPr>
              <w:t>个演变过程及每个过程的特征</w:t>
            </w:r>
            <w:r>
              <w:rPr>
                <w:rFonts w:ascii="宋体" w:eastAsia="宋体" w:hAnsi="宋体" w:hint="eastAsia"/>
                <w:color w:val="000000"/>
                <w:szCs w:val="21"/>
              </w:rPr>
              <w:t>、近</w:t>
            </w:r>
            <w:r>
              <w:rPr>
                <w:rFonts w:ascii="宋体" w:eastAsia="宋体" w:hAnsi="宋体" w:cs="Times New Roman" w:hint="eastAsia"/>
                <w:color w:val="000000"/>
                <w:szCs w:val="21"/>
              </w:rPr>
              <w:t>现代护理发展的各个重要阶段</w:t>
            </w:r>
            <w:r>
              <w:rPr>
                <w:rFonts w:ascii="宋体" w:eastAsia="宋体" w:hAnsi="宋体" w:hint="eastAsia"/>
                <w:color w:val="000000"/>
                <w:szCs w:val="21"/>
              </w:rPr>
              <w:t>的主要特点、护理专业的特点、</w:t>
            </w:r>
            <w:r>
              <w:rPr>
                <w:rFonts w:ascii="宋体" w:eastAsia="宋体" w:hAnsi="宋体" w:cs="Times New Roman" w:hint="eastAsia"/>
                <w:color w:val="000000"/>
                <w:szCs w:val="21"/>
              </w:rPr>
              <w:t>专业护士的角色</w:t>
            </w:r>
            <w:r>
              <w:rPr>
                <w:rFonts w:ascii="宋体" w:eastAsia="宋体" w:hAnsi="宋体" w:cs="Times New Roman" w:hint="eastAsia"/>
                <w:color w:val="000000"/>
                <w:szCs w:val="21"/>
              </w:rPr>
              <w:lastRenderedPageBreak/>
              <w:t>要求。</w:t>
            </w:r>
          </w:p>
        </w:tc>
      </w:tr>
      <w:tr w:rsidR="003625DD" w14:paraId="317D3C16" w14:textId="77777777">
        <w:trPr>
          <w:trHeight w:val="545"/>
        </w:trPr>
        <w:tc>
          <w:tcPr>
            <w:tcW w:w="1242" w:type="dxa"/>
            <w:vAlign w:val="center"/>
          </w:tcPr>
          <w:p w14:paraId="292CFEA9"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lastRenderedPageBreak/>
              <w:t>2</w:t>
            </w:r>
          </w:p>
        </w:tc>
        <w:tc>
          <w:tcPr>
            <w:tcW w:w="1843" w:type="dxa"/>
            <w:vAlign w:val="center"/>
          </w:tcPr>
          <w:p w14:paraId="3E3255CA"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健康与疾病</w:t>
            </w:r>
          </w:p>
        </w:tc>
        <w:tc>
          <w:tcPr>
            <w:tcW w:w="6306" w:type="dxa"/>
            <w:vAlign w:val="center"/>
          </w:tcPr>
          <w:p w14:paraId="2C11E94C"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w:t>
            </w:r>
            <w:r>
              <w:rPr>
                <w:rFonts w:ascii="宋体" w:eastAsia="宋体" w:hAnsi="宋体" w:cs="Times New Roman" w:hint="eastAsia"/>
                <w:color w:val="000000"/>
                <w:szCs w:val="21"/>
              </w:rPr>
              <w:t>知道健康与疾病的相关概念、影响健康的因素和健康的测量指标、病人常见的行为和心理反应。</w:t>
            </w:r>
          </w:p>
          <w:p w14:paraId="462FC3F4" w14:textId="77777777" w:rsidR="003625DD" w:rsidRDefault="002618DD">
            <w:pPr>
              <w:rPr>
                <w:rFonts w:ascii="宋体" w:eastAsia="宋体" w:hAnsi="宋体" w:cs="Times New Roman"/>
                <w:color w:val="000000"/>
                <w:szCs w:val="21"/>
              </w:rPr>
            </w:pPr>
            <w:r>
              <w:rPr>
                <w:rFonts w:ascii="宋体" w:eastAsia="宋体" w:hAnsi="宋体" w:cs="Times New Roman" w:hint="eastAsia"/>
                <w:color w:val="000000"/>
                <w:szCs w:val="21"/>
              </w:rPr>
              <w:t>2.</w:t>
            </w:r>
            <w:r>
              <w:rPr>
                <w:rFonts w:ascii="宋体" w:eastAsia="宋体" w:hAnsi="宋体" w:cs="Times New Roman" w:hint="eastAsia"/>
                <w:color w:val="000000"/>
                <w:szCs w:val="21"/>
              </w:rPr>
              <w:t>理解健康与疾病的关系、常见的病人角色适应不良、疾病的影响、全球及我国卫生保健的战略目标及健康中国战略。</w:t>
            </w:r>
          </w:p>
        </w:tc>
      </w:tr>
      <w:tr w:rsidR="003625DD" w14:paraId="31563202" w14:textId="77777777">
        <w:trPr>
          <w:trHeight w:val="545"/>
        </w:trPr>
        <w:tc>
          <w:tcPr>
            <w:tcW w:w="1242" w:type="dxa"/>
            <w:vAlign w:val="center"/>
          </w:tcPr>
          <w:p w14:paraId="2C76E6AB"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3</w:t>
            </w:r>
          </w:p>
        </w:tc>
        <w:tc>
          <w:tcPr>
            <w:tcW w:w="1843" w:type="dxa"/>
            <w:vAlign w:val="center"/>
          </w:tcPr>
          <w:p w14:paraId="687BFD51"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需要与关怀</w:t>
            </w:r>
          </w:p>
        </w:tc>
        <w:tc>
          <w:tcPr>
            <w:tcW w:w="6306" w:type="dxa"/>
            <w:vAlign w:val="center"/>
          </w:tcPr>
          <w:p w14:paraId="77B20C66"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w:t>
            </w:r>
            <w:r>
              <w:rPr>
                <w:rFonts w:ascii="宋体" w:eastAsia="宋体" w:hAnsi="宋体" w:cs="Times New Roman" w:hint="eastAsia"/>
                <w:color w:val="000000"/>
                <w:szCs w:val="21"/>
              </w:rPr>
              <w:t>知道马斯洛的人类基本需要层次论、关怀的内涵、</w:t>
            </w:r>
            <w:r>
              <w:rPr>
                <w:rFonts w:ascii="宋体" w:eastAsia="宋体" w:hAnsi="宋体" w:cs="Times New Roman" w:hint="eastAsia"/>
                <w:color w:val="000000"/>
                <w:szCs w:val="21"/>
              </w:rPr>
              <w:t>Watson</w:t>
            </w:r>
            <w:r>
              <w:rPr>
                <w:rFonts w:ascii="宋体" w:eastAsia="宋体" w:hAnsi="宋体" w:cs="Times New Roman" w:hint="eastAsia"/>
                <w:color w:val="000000"/>
                <w:szCs w:val="21"/>
              </w:rPr>
              <w:t>人性关怀理论和</w:t>
            </w:r>
            <w:r>
              <w:rPr>
                <w:rFonts w:ascii="宋体" w:eastAsia="宋体" w:hAnsi="宋体" w:cs="Times New Roman" w:hint="eastAsia"/>
                <w:color w:val="000000"/>
                <w:szCs w:val="21"/>
              </w:rPr>
              <w:t>Swanson</w:t>
            </w:r>
            <w:r>
              <w:rPr>
                <w:rFonts w:ascii="宋体" w:eastAsia="宋体" w:hAnsi="宋体" w:cs="Times New Roman" w:hint="eastAsia"/>
                <w:color w:val="000000"/>
                <w:szCs w:val="21"/>
              </w:rPr>
              <w:t>关怀理论的基本观点。</w:t>
            </w:r>
          </w:p>
          <w:p w14:paraId="0492AE8D" w14:textId="77777777" w:rsidR="003625DD" w:rsidRDefault="002618DD">
            <w:pPr>
              <w:rPr>
                <w:rFonts w:ascii="宋体" w:eastAsia="宋体" w:hAnsi="宋体" w:cs="Times New Roman"/>
                <w:color w:val="000000"/>
                <w:szCs w:val="21"/>
              </w:rPr>
            </w:pPr>
            <w:r>
              <w:rPr>
                <w:rFonts w:ascii="宋体" w:eastAsia="宋体" w:hAnsi="宋体" w:cs="Times New Roman" w:hint="eastAsia"/>
                <w:color w:val="000000"/>
                <w:szCs w:val="21"/>
              </w:rPr>
              <w:t>2.</w:t>
            </w:r>
            <w:r>
              <w:rPr>
                <w:rFonts w:ascii="宋体" w:eastAsia="宋体" w:hAnsi="宋体" w:cs="Times New Roman" w:hint="eastAsia"/>
                <w:color w:val="000000"/>
                <w:szCs w:val="21"/>
              </w:rPr>
              <w:t>理解马斯洛的人类基本需要层次论在护理实践中应用的意义、影响病人需要满足的因素、护理关怀的意义和作用。</w:t>
            </w:r>
          </w:p>
          <w:p w14:paraId="0A3F16B1" w14:textId="77777777" w:rsidR="003625DD" w:rsidRDefault="002618DD">
            <w:pPr>
              <w:rPr>
                <w:rFonts w:ascii="宋体" w:eastAsia="宋体" w:hAnsi="宋体" w:cs="Times New Roman"/>
                <w:color w:val="000000"/>
                <w:szCs w:val="21"/>
              </w:rPr>
            </w:pPr>
            <w:r>
              <w:rPr>
                <w:rFonts w:ascii="宋体" w:eastAsia="宋体" w:hAnsi="宋体" w:cs="Times New Roman" w:hint="eastAsia"/>
                <w:color w:val="000000"/>
                <w:szCs w:val="21"/>
              </w:rPr>
              <w:t>3.</w:t>
            </w:r>
            <w:r>
              <w:rPr>
                <w:rFonts w:ascii="宋体" w:eastAsia="宋体" w:hAnsi="宋体" w:cs="Times New Roman" w:hint="eastAsia"/>
                <w:color w:val="000000"/>
                <w:szCs w:val="21"/>
              </w:rPr>
              <w:t>依据人类基本需要层次论分析病人的需要并采用相应的策略满足其基本需要。</w:t>
            </w:r>
          </w:p>
        </w:tc>
      </w:tr>
      <w:tr w:rsidR="003625DD" w14:paraId="642A428C" w14:textId="77777777">
        <w:trPr>
          <w:trHeight w:val="545"/>
        </w:trPr>
        <w:tc>
          <w:tcPr>
            <w:tcW w:w="1242" w:type="dxa"/>
            <w:vAlign w:val="center"/>
          </w:tcPr>
          <w:p w14:paraId="52C948EC"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4</w:t>
            </w:r>
          </w:p>
        </w:tc>
        <w:tc>
          <w:tcPr>
            <w:tcW w:w="1843" w:type="dxa"/>
            <w:vAlign w:val="center"/>
          </w:tcPr>
          <w:p w14:paraId="0EFF698B"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护患关系与人际沟通</w:t>
            </w:r>
          </w:p>
        </w:tc>
        <w:tc>
          <w:tcPr>
            <w:tcW w:w="6306" w:type="dxa"/>
            <w:vAlign w:val="center"/>
          </w:tcPr>
          <w:p w14:paraId="7780AADF"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w:t>
            </w:r>
            <w:r>
              <w:rPr>
                <w:rFonts w:ascii="宋体" w:eastAsia="宋体" w:hAnsi="宋体" w:cs="Times New Roman" w:hint="eastAsia"/>
                <w:color w:val="000000"/>
                <w:szCs w:val="21"/>
              </w:rPr>
              <w:t>知道护患关系的基本模式和分期、人际沟通的基本要素、人际关系和非语言</w:t>
            </w:r>
            <w:r>
              <w:rPr>
                <w:rFonts w:ascii="宋体" w:eastAsia="宋体" w:hAnsi="宋体" w:cs="Times New Roman" w:hint="eastAsia"/>
                <w:color w:val="000000"/>
                <w:szCs w:val="21"/>
              </w:rPr>
              <w:t>沟通的类型。</w:t>
            </w:r>
          </w:p>
          <w:p w14:paraId="1E2821C1" w14:textId="77777777" w:rsidR="003625DD" w:rsidRDefault="002618DD">
            <w:pPr>
              <w:rPr>
                <w:rFonts w:ascii="宋体" w:eastAsia="宋体" w:hAnsi="宋体" w:cs="Times New Roman"/>
                <w:color w:val="000000"/>
                <w:szCs w:val="21"/>
              </w:rPr>
            </w:pPr>
            <w:r>
              <w:rPr>
                <w:rFonts w:ascii="宋体" w:eastAsia="宋体" w:hAnsi="宋体" w:cs="Times New Roman" w:hint="eastAsia"/>
                <w:color w:val="000000"/>
                <w:szCs w:val="21"/>
              </w:rPr>
              <w:t>2.</w:t>
            </w:r>
            <w:r>
              <w:rPr>
                <w:rFonts w:ascii="宋体" w:eastAsia="宋体" w:hAnsi="宋体" w:cs="Times New Roman" w:hint="eastAsia"/>
                <w:color w:val="000000"/>
                <w:szCs w:val="21"/>
              </w:rPr>
              <w:t>理解人际关系、护患关系、人际沟通、护患沟通、语言沟通、非语言沟通、倾听、同理、自我暴露的概念</w:t>
            </w:r>
            <w:r>
              <w:rPr>
                <w:rFonts w:ascii="宋体" w:eastAsia="宋体" w:hAnsi="宋体" w:cs="Times New Roman" w:hint="eastAsia"/>
                <w:color w:val="000000"/>
                <w:szCs w:val="21"/>
              </w:rPr>
              <w:t>。</w:t>
            </w:r>
          </w:p>
          <w:p w14:paraId="04A39C98" w14:textId="77777777" w:rsidR="003625DD" w:rsidRDefault="002618DD">
            <w:pPr>
              <w:rPr>
                <w:rFonts w:ascii="宋体" w:eastAsia="宋体" w:hAnsi="宋体" w:cs="Times New Roman"/>
                <w:color w:val="000000"/>
                <w:szCs w:val="21"/>
              </w:rPr>
            </w:pPr>
            <w:r>
              <w:rPr>
                <w:rFonts w:ascii="宋体" w:eastAsia="宋体" w:hAnsi="宋体" w:cs="Times New Roman" w:hint="eastAsia"/>
                <w:color w:val="000000"/>
                <w:szCs w:val="21"/>
              </w:rPr>
              <w:t>3.</w:t>
            </w:r>
            <w:r>
              <w:rPr>
                <w:rFonts w:ascii="宋体" w:eastAsia="宋体" w:hAnsi="宋体" w:cs="Times New Roman" w:hint="eastAsia"/>
                <w:color w:val="000000"/>
                <w:szCs w:val="21"/>
              </w:rPr>
              <w:t>说明人际关系、护患关系、护患沟通的特征；分析人际沟通的层次；明确阻碍护患沟通的因素。</w:t>
            </w:r>
          </w:p>
          <w:p w14:paraId="13BB1E88" w14:textId="77777777" w:rsidR="003625DD" w:rsidRDefault="002618DD">
            <w:pPr>
              <w:rPr>
                <w:rFonts w:ascii="宋体" w:eastAsia="宋体" w:hAnsi="宋体" w:cs="Times New Roman"/>
                <w:color w:val="000000"/>
                <w:szCs w:val="21"/>
              </w:rPr>
            </w:pPr>
            <w:r>
              <w:rPr>
                <w:rFonts w:ascii="宋体" w:eastAsia="宋体" w:hAnsi="宋体" w:cs="Times New Roman" w:hint="eastAsia"/>
                <w:color w:val="000000"/>
                <w:szCs w:val="21"/>
              </w:rPr>
              <w:t>4.</w:t>
            </w:r>
            <w:r>
              <w:rPr>
                <w:rFonts w:ascii="宋体" w:eastAsia="宋体" w:hAnsi="宋体" w:cs="Times New Roman" w:hint="eastAsia"/>
                <w:color w:val="000000"/>
                <w:szCs w:val="21"/>
              </w:rPr>
              <w:t>运用人际关系基本理论模拟并处理护理工作中的各种人际关系；</w:t>
            </w:r>
          </w:p>
          <w:p w14:paraId="0C8EFA70" w14:textId="77777777" w:rsidR="003625DD" w:rsidRDefault="002618DD">
            <w:r>
              <w:rPr>
                <w:rFonts w:ascii="宋体" w:eastAsia="宋体" w:hAnsi="宋体" w:cs="Times New Roman" w:hint="eastAsia"/>
                <w:color w:val="000000"/>
                <w:szCs w:val="21"/>
              </w:rPr>
              <w:t>运用人际沟通的技巧进行护患间有效的沟通。</w:t>
            </w:r>
          </w:p>
        </w:tc>
      </w:tr>
      <w:tr w:rsidR="003625DD" w14:paraId="61B87268" w14:textId="77777777">
        <w:trPr>
          <w:trHeight w:val="545"/>
        </w:trPr>
        <w:tc>
          <w:tcPr>
            <w:tcW w:w="1242" w:type="dxa"/>
            <w:vAlign w:val="center"/>
          </w:tcPr>
          <w:p w14:paraId="4447E6FA"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5</w:t>
            </w:r>
          </w:p>
        </w:tc>
        <w:tc>
          <w:tcPr>
            <w:tcW w:w="1843" w:type="dxa"/>
            <w:vAlign w:val="center"/>
          </w:tcPr>
          <w:p w14:paraId="1574D0CD"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护理程序</w:t>
            </w:r>
          </w:p>
        </w:tc>
        <w:tc>
          <w:tcPr>
            <w:tcW w:w="6306" w:type="dxa"/>
            <w:vAlign w:val="center"/>
          </w:tcPr>
          <w:p w14:paraId="3D7B02FE"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w:t>
            </w:r>
            <w:r>
              <w:rPr>
                <w:rFonts w:ascii="宋体" w:eastAsia="宋体" w:hAnsi="宋体" w:cs="Times New Roman" w:hint="eastAsia"/>
                <w:color w:val="000000"/>
                <w:szCs w:val="21"/>
              </w:rPr>
              <w:t>知道护理程序及护理诊断的概念、资料收集的内容和方法、护理诊断的排序原则、护理诊断的陈述结构与方式、制订预期目标和护理措施的要求、临床护理记录常用的记录方法。</w:t>
            </w:r>
          </w:p>
          <w:p w14:paraId="332E9ECB"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w:t>
            </w:r>
            <w:r>
              <w:rPr>
                <w:rFonts w:ascii="宋体" w:eastAsia="宋体" w:hAnsi="宋体" w:cs="Times New Roman" w:hint="eastAsia"/>
                <w:color w:val="000000"/>
                <w:szCs w:val="21"/>
              </w:rPr>
              <w:t>理解护理诊断的四种类型及组成部分；鉴别护理诊断与合作性问题、医疗诊断；鉴别主观资料和客观资料。</w:t>
            </w:r>
          </w:p>
          <w:p w14:paraId="1E8EA764" w14:textId="77777777" w:rsidR="003625DD" w:rsidRDefault="002618DD">
            <w:pPr>
              <w:snapToGrid w:val="0"/>
              <w:spacing w:line="288" w:lineRule="auto"/>
              <w:jc w:val="left"/>
            </w:pPr>
            <w:r>
              <w:rPr>
                <w:rFonts w:ascii="宋体" w:eastAsia="宋体" w:hAnsi="宋体" w:cs="Times New Roman" w:hint="eastAsia"/>
                <w:color w:val="000000"/>
                <w:szCs w:val="21"/>
              </w:rPr>
              <w:t>3.</w:t>
            </w:r>
            <w:r>
              <w:rPr>
                <w:rFonts w:ascii="宋体" w:eastAsia="宋体" w:hAnsi="宋体" w:cs="Times New Roman" w:hint="eastAsia"/>
                <w:color w:val="000000"/>
                <w:szCs w:val="21"/>
              </w:rPr>
              <w:t>运用相关标准判断护理诊断、护理目标、护理措施的正误。</w:t>
            </w:r>
          </w:p>
        </w:tc>
      </w:tr>
      <w:tr w:rsidR="003625DD" w14:paraId="538FA13E" w14:textId="77777777">
        <w:trPr>
          <w:trHeight w:val="545"/>
        </w:trPr>
        <w:tc>
          <w:tcPr>
            <w:tcW w:w="1242" w:type="dxa"/>
            <w:vAlign w:val="center"/>
          </w:tcPr>
          <w:p w14:paraId="7C09D9C4"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6</w:t>
            </w:r>
          </w:p>
        </w:tc>
        <w:tc>
          <w:tcPr>
            <w:tcW w:w="1843" w:type="dxa"/>
            <w:vAlign w:val="center"/>
          </w:tcPr>
          <w:p w14:paraId="20F43A2D"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护理理论及模式</w:t>
            </w:r>
          </w:p>
        </w:tc>
        <w:tc>
          <w:tcPr>
            <w:tcW w:w="6306" w:type="dxa"/>
            <w:vAlign w:val="center"/>
          </w:tcPr>
          <w:p w14:paraId="5468A17E"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w:t>
            </w:r>
            <w:r>
              <w:rPr>
                <w:rFonts w:ascii="宋体" w:eastAsia="宋体" w:hAnsi="宋体" w:cs="Times New Roman" w:hint="eastAsia"/>
                <w:color w:val="000000"/>
                <w:szCs w:val="21"/>
              </w:rPr>
              <w:t>知道护理理念、护理理论的相关概念及发展过程。</w:t>
            </w:r>
          </w:p>
          <w:p w14:paraId="4D08541C"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w:t>
            </w:r>
            <w:r>
              <w:rPr>
                <w:rFonts w:ascii="宋体" w:eastAsia="宋体" w:hAnsi="宋体" w:cs="Times New Roman" w:hint="eastAsia"/>
                <w:color w:val="000000"/>
                <w:szCs w:val="21"/>
              </w:rPr>
              <w:t>理解奥瑞</w:t>
            </w:r>
            <w:proofErr w:type="gramStart"/>
            <w:r>
              <w:rPr>
                <w:rFonts w:ascii="宋体" w:eastAsia="宋体" w:hAnsi="宋体" w:cs="Times New Roman" w:hint="eastAsia"/>
                <w:color w:val="000000"/>
                <w:szCs w:val="21"/>
              </w:rPr>
              <w:t>姆</w:t>
            </w:r>
            <w:proofErr w:type="gramEnd"/>
            <w:r>
              <w:rPr>
                <w:rFonts w:ascii="宋体" w:eastAsia="宋体" w:hAnsi="宋体" w:cs="Times New Roman" w:hint="eastAsia"/>
                <w:color w:val="000000"/>
                <w:szCs w:val="21"/>
              </w:rPr>
              <w:t>自理理论、罗伊适应模式的主要内容；</w:t>
            </w:r>
            <w:proofErr w:type="gramStart"/>
            <w:r>
              <w:rPr>
                <w:rFonts w:ascii="宋体" w:eastAsia="宋体" w:hAnsi="宋体" w:cs="Times New Roman" w:hint="eastAsia"/>
                <w:color w:val="000000"/>
                <w:szCs w:val="21"/>
              </w:rPr>
              <w:t>纽曼</w:t>
            </w:r>
            <w:proofErr w:type="gramEnd"/>
            <w:r>
              <w:rPr>
                <w:rFonts w:ascii="宋体" w:eastAsia="宋体" w:hAnsi="宋体" w:cs="Times New Roman" w:hint="eastAsia"/>
                <w:color w:val="000000"/>
                <w:szCs w:val="21"/>
              </w:rPr>
              <w:t>系统模式的主要观点。</w:t>
            </w:r>
          </w:p>
        </w:tc>
      </w:tr>
      <w:tr w:rsidR="003625DD" w14:paraId="44110BEF" w14:textId="77777777">
        <w:trPr>
          <w:trHeight w:val="545"/>
        </w:trPr>
        <w:tc>
          <w:tcPr>
            <w:tcW w:w="1242" w:type="dxa"/>
            <w:vAlign w:val="center"/>
          </w:tcPr>
          <w:p w14:paraId="4829B704"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7</w:t>
            </w:r>
          </w:p>
        </w:tc>
        <w:tc>
          <w:tcPr>
            <w:tcW w:w="1843" w:type="dxa"/>
            <w:vAlign w:val="center"/>
          </w:tcPr>
          <w:p w14:paraId="035EF916"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护理伦理</w:t>
            </w:r>
          </w:p>
        </w:tc>
        <w:tc>
          <w:tcPr>
            <w:tcW w:w="6306" w:type="dxa"/>
            <w:vAlign w:val="center"/>
          </w:tcPr>
          <w:p w14:paraId="6D86724B"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w:t>
            </w:r>
            <w:r>
              <w:rPr>
                <w:rFonts w:ascii="宋体" w:eastAsia="宋体" w:hAnsi="宋体" w:cs="Times New Roman" w:hint="eastAsia"/>
                <w:color w:val="000000"/>
                <w:szCs w:val="21"/>
              </w:rPr>
              <w:t>知道护理伦理基本原则、护理</w:t>
            </w:r>
            <w:r>
              <w:rPr>
                <w:rFonts w:ascii="宋体" w:eastAsia="宋体" w:hAnsi="宋体" w:cs="Times New Roman" w:hint="eastAsia"/>
                <w:color w:val="000000"/>
                <w:szCs w:val="21"/>
              </w:rPr>
              <w:t>道德的规范与范畴、病人的权利与义务。</w:t>
            </w:r>
          </w:p>
          <w:p w14:paraId="59DB9504"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w:t>
            </w:r>
            <w:r>
              <w:rPr>
                <w:rFonts w:ascii="宋体" w:eastAsia="宋体" w:hAnsi="宋体" w:cs="Times New Roman" w:hint="eastAsia"/>
                <w:color w:val="000000"/>
                <w:szCs w:val="21"/>
              </w:rPr>
              <w:t>理解职业道德、护理道德修养及知情同意的概念、生命伦理学中的有关理论、常见的生命伦理学伦理难题及处理方法。</w:t>
            </w:r>
          </w:p>
          <w:p w14:paraId="57F09856"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w:t>
            </w:r>
            <w:r>
              <w:rPr>
                <w:rFonts w:ascii="宋体" w:eastAsia="宋体" w:hAnsi="宋体" w:cs="Times New Roman" w:hint="eastAsia"/>
                <w:color w:val="000000"/>
                <w:szCs w:val="21"/>
              </w:rPr>
              <w:t>分析判断护理活动中的伦理问题。</w:t>
            </w:r>
          </w:p>
        </w:tc>
      </w:tr>
      <w:tr w:rsidR="003625DD" w14:paraId="3A84604C" w14:textId="77777777">
        <w:trPr>
          <w:trHeight w:val="545"/>
        </w:trPr>
        <w:tc>
          <w:tcPr>
            <w:tcW w:w="1242" w:type="dxa"/>
            <w:vAlign w:val="center"/>
          </w:tcPr>
          <w:p w14:paraId="5D03B0DB" w14:textId="77777777" w:rsidR="003625DD" w:rsidRDefault="002618DD">
            <w:pPr>
              <w:pStyle w:val="a7"/>
              <w:widowControl/>
              <w:spacing w:before="60" w:beforeAutospacing="0" w:afterAutospacing="0" w:line="360" w:lineRule="exact"/>
              <w:jc w:val="center"/>
              <w:rPr>
                <w:rFonts w:ascii="宋体" w:eastAsia="宋体" w:hAnsi="宋体"/>
                <w:color w:val="000000"/>
                <w:kern w:val="2"/>
                <w:sz w:val="21"/>
                <w:szCs w:val="21"/>
              </w:rPr>
            </w:pPr>
            <w:r>
              <w:rPr>
                <w:rFonts w:ascii="宋体" w:eastAsia="宋体" w:hAnsi="宋体" w:hint="eastAsia"/>
                <w:color w:val="000000"/>
                <w:kern w:val="2"/>
                <w:sz w:val="21"/>
                <w:szCs w:val="21"/>
              </w:rPr>
              <w:t>8</w:t>
            </w:r>
          </w:p>
        </w:tc>
        <w:tc>
          <w:tcPr>
            <w:tcW w:w="1843" w:type="dxa"/>
            <w:vAlign w:val="center"/>
          </w:tcPr>
          <w:p w14:paraId="71A4A403" w14:textId="77777777" w:rsidR="003625DD" w:rsidRDefault="002618DD">
            <w:pPr>
              <w:pStyle w:val="a7"/>
              <w:widowControl/>
              <w:spacing w:before="60" w:beforeAutospacing="0" w:afterAutospacing="0" w:line="360" w:lineRule="exact"/>
              <w:jc w:val="center"/>
              <w:rPr>
                <w:rFonts w:ascii="宋体" w:eastAsia="宋体" w:hAnsi="宋体"/>
                <w:color w:val="000000"/>
                <w:kern w:val="2"/>
                <w:sz w:val="21"/>
                <w:szCs w:val="21"/>
              </w:rPr>
            </w:pPr>
            <w:r>
              <w:rPr>
                <w:rFonts w:ascii="微软雅黑" w:eastAsia="微软雅黑" w:hAnsi="微软雅黑" w:cs="微软雅黑" w:hint="eastAsia"/>
                <w:bCs/>
                <w:sz w:val="21"/>
                <w:szCs w:val="21"/>
                <w:shd w:val="clear" w:color="auto" w:fill="FFFFFF"/>
              </w:rPr>
              <w:t>护理专业中的法律问题</w:t>
            </w:r>
          </w:p>
        </w:tc>
        <w:tc>
          <w:tcPr>
            <w:tcW w:w="6306" w:type="dxa"/>
            <w:vAlign w:val="center"/>
          </w:tcPr>
          <w:p w14:paraId="5434FADA"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w:t>
            </w:r>
            <w:r>
              <w:rPr>
                <w:rFonts w:ascii="宋体" w:eastAsia="宋体" w:hAnsi="宋体" w:cs="Times New Roman" w:hint="eastAsia"/>
                <w:color w:val="000000"/>
                <w:szCs w:val="21"/>
              </w:rPr>
              <w:t>知道医疗纠纷、医疗事故的概念、护理法的基本内容。</w:t>
            </w:r>
          </w:p>
          <w:p w14:paraId="0F886F77" w14:textId="77777777" w:rsidR="003625DD" w:rsidRDefault="002618DD">
            <w:pPr>
              <w:rPr>
                <w:rFonts w:ascii="宋体" w:eastAsia="宋体" w:hAnsi="宋体" w:cs="Times New Roman"/>
                <w:color w:val="000000"/>
                <w:szCs w:val="21"/>
              </w:rPr>
            </w:pPr>
            <w:r>
              <w:rPr>
                <w:rFonts w:ascii="宋体" w:eastAsia="宋体" w:hAnsi="宋体" w:cs="Times New Roman" w:hint="eastAsia"/>
                <w:color w:val="000000"/>
                <w:szCs w:val="21"/>
              </w:rPr>
              <w:t>2.</w:t>
            </w:r>
            <w:r>
              <w:rPr>
                <w:rFonts w:ascii="宋体" w:eastAsia="宋体" w:hAnsi="宋体" w:cs="Times New Roman" w:hint="eastAsia"/>
                <w:color w:val="000000"/>
                <w:szCs w:val="21"/>
              </w:rPr>
              <w:t>理解医疗纠纷的分类、医疗事故的构成要件和分级、举证责任倒置的基本含义、护理工作中专业和相关法律法规的类型、护士的工作权限。</w:t>
            </w:r>
          </w:p>
          <w:p w14:paraId="0028DBC9" w14:textId="77777777" w:rsidR="003625DD" w:rsidRDefault="002618DD">
            <w:pPr>
              <w:rPr>
                <w:rFonts w:ascii="宋体" w:eastAsia="宋体" w:hAnsi="宋体" w:cs="Times New Roman"/>
                <w:color w:val="000000"/>
                <w:szCs w:val="21"/>
              </w:rPr>
            </w:pPr>
            <w:r>
              <w:rPr>
                <w:rFonts w:ascii="宋体" w:eastAsia="宋体" w:hAnsi="宋体" w:cs="Times New Roman" w:hint="eastAsia"/>
                <w:color w:val="000000"/>
                <w:szCs w:val="21"/>
              </w:rPr>
              <w:t>3.</w:t>
            </w:r>
            <w:r>
              <w:rPr>
                <w:rFonts w:ascii="宋体" w:eastAsia="宋体" w:hAnsi="宋体" w:cs="Times New Roman" w:hint="eastAsia"/>
                <w:color w:val="000000"/>
                <w:szCs w:val="21"/>
              </w:rPr>
              <w:t>分析医疗事故的分级、护理工作中的法律问题。</w:t>
            </w:r>
          </w:p>
        </w:tc>
      </w:tr>
    </w:tbl>
    <w:p w14:paraId="036F18E2" w14:textId="77777777" w:rsidR="003625DD" w:rsidRDefault="003625DD">
      <w:pPr>
        <w:pStyle w:val="a7"/>
        <w:widowControl/>
        <w:shd w:val="clear" w:color="auto" w:fill="FFFFFF"/>
        <w:spacing w:before="60" w:beforeAutospacing="0" w:afterAutospacing="0" w:line="360" w:lineRule="exact"/>
        <w:rPr>
          <w:rFonts w:ascii="宋体" w:eastAsia="宋体" w:hAnsi="宋体"/>
          <w:color w:val="000000"/>
          <w:kern w:val="2"/>
          <w:sz w:val="21"/>
          <w:szCs w:val="21"/>
        </w:rPr>
      </w:pPr>
    </w:p>
    <w:p w14:paraId="581A4CB9" w14:textId="77777777" w:rsidR="003625DD" w:rsidRDefault="003625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03FE3F03" w14:textId="77777777" w:rsidR="003625DD" w:rsidRDefault="003625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4BC3F57C" w14:textId="77777777" w:rsidR="003625DD" w:rsidRDefault="002618DD">
      <w:pPr>
        <w:pStyle w:val="a7"/>
        <w:widowControl/>
        <w:shd w:val="clear" w:color="auto" w:fill="FFFFFF"/>
        <w:spacing w:before="60" w:beforeAutospacing="0" w:afterAutospacing="0" w:line="360" w:lineRule="exact"/>
        <w:rPr>
          <w:rFonts w:cstheme="minorBidi"/>
          <w:b/>
          <w:kern w:val="2"/>
          <w:sz w:val="21"/>
          <w:szCs w:val="22"/>
        </w:rPr>
      </w:pPr>
      <w:r>
        <w:rPr>
          <w:rFonts w:cstheme="minorBidi" w:hint="eastAsia"/>
          <w:b/>
          <w:kern w:val="2"/>
          <w:sz w:val="21"/>
          <w:szCs w:val="22"/>
        </w:rPr>
        <w:lastRenderedPageBreak/>
        <w:t>（二）基础护理学</w:t>
      </w:r>
    </w:p>
    <w:p w14:paraId="37AD7402" w14:textId="77777777" w:rsidR="003625DD" w:rsidRDefault="003625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tbl>
      <w:tblPr>
        <w:tblStyle w:val="a8"/>
        <w:tblW w:w="9391" w:type="dxa"/>
        <w:tblLook w:val="04A0" w:firstRow="1" w:lastRow="0" w:firstColumn="1" w:lastColumn="0" w:noHBand="0" w:noVBand="1"/>
      </w:tblPr>
      <w:tblGrid>
        <w:gridCol w:w="1242"/>
        <w:gridCol w:w="1843"/>
        <w:gridCol w:w="6306"/>
      </w:tblGrid>
      <w:tr w:rsidR="003625DD" w14:paraId="7F5F4150" w14:textId="77777777">
        <w:trPr>
          <w:trHeight w:val="545"/>
        </w:trPr>
        <w:tc>
          <w:tcPr>
            <w:tcW w:w="1242" w:type="dxa"/>
          </w:tcPr>
          <w:p w14:paraId="14484207" w14:textId="77777777" w:rsidR="003625DD" w:rsidRDefault="002618DD">
            <w:pPr>
              <w:pStyle w:val="a7"/>
              <w:widowControl/>
              <w:spacing w:before="60" w:beforeAutospacing="0" w:afterAutospacing="0" w:line="360" w:lineRule="exact"/>
              <w:jc w:val="center"/>
              <w:rPr>
                <w:rFonts w:ascii="微软雅黑" w:eastAsia="微软雅黑" w:hAnsi="微软雅黑" w:cs="微软雅黑"/>
                <w:b/>
                <w:bCs/>
                <w:sz w:val="21"/>
                <w:szCs w:val="21"/>
                <w:shd w:val="clear" w:color="auto" w:fill="FFFFFF"/>
              </w:rPr>
            </w:pPr>
            <w:r>
              <w:rPr>
                <w:rFonts w:ascii="微软雅黑" w:eastAsia="微软雅黑" w:hAnsi="微软雅黑" w:cs="微软雅黑" w:hint="eastAsia"/>
                <w:b/>
                <w:bCs/>
                <w:sz w:val="21"/>
                <w:szCs w:val="21"/>
                <w:shd w:val="clear" w:color="auto" w:fill="FFFFFF"/>
              </w:rPr>
              <w:t>序号</w:t>
            </w:r>
          </w:p>
        </w:tc>
        <w:tc>
          <w:tcPr>
            <w:tcW w:w="1843" w:type="dxa"/>
          </w:tcPr>
          <w:p w14:paraId="3319BD18" w14:textId="77777777" w:rsidR="003625DD" w:rsidRDefault="002618DD">
            <w:pPr>
              <w:pStyle w:val="a7"/>
              <w:widowControl/>
              <w:spacing w:before="60" w:beforeAutospacing="0" w:afterAutospacing="0" w:line="360" w:lineRule="exact"/>
              <w:jc w:val="center"/>
              <w:rPr>
                <w:rFonts w:ascii="微软雅黑" w:eastAsia="微软雅黑" w:hAnsi="微软雅黑" w:cs="微软雅黑"/>
                <w:b/>
                <w:bCs/>
                <w:sz w:val="21"/>
                <w:szCs w:val="21"/>
                <w:shd w:val="clear" w:color="auto" w:fill="FFFFFF"/>
              </w:rPr>
            </w:pPr>
            <w:r>
              <w:rPr>
                <w:rFonts w:ascii="微软雅黑" w:eastAsia="微软雅黑" w:hAnsi="微软雅黑" w:cs="微软雅黑" w:hint="eastAsia"/>
                <w:b/>
                <w:bCs/>
                <w:sz w:val="21"/>
                <w:szCs w:val="21"/>
                <w:shd w:val="clear" w:color="auto" w:fill="FFFFFF"/>
              </w:rPr>
              <w:t>内容</w:t>
            </w:r>
          </w:p>
        </w:tc>
        <w:tc>
          <w:tcPr>
            <w:tcW w:w="6306" w:type="dxa"/>
          </w:tcPr>
          <w:p w14:paraId="7D77FE2F" w14:textId="77777777" w:rsidR="003625DD" w:rsidRDefault="002618DD">
            <w:pPr>
              <w:pStyle w:val="a7"/>
              <w:widowControl/>
              <w:spacing w:before="60" w:beforeAutospacing="0" w:afterAutospacing="0" w:line="360" w:lineRule="exact"/>
              <w:jc w:val="center"/>
              <w:rPr>
                <w:rFonts w:ascii="微软雅黑" w:eastAsia="微软雅黑" w:hAnsi="微软雅黑" w:cs="微软雅黑"/>
                <w:b/>
                <w:bCs/>
                <w:sz w:val="21"/>
                <w:szCs w:val="21"/>
                <w:shd w:val="clear" w:color="auto" w:fill="FFFFFF"/>
              </w:rPr>
            </w:pPr>
            <w:r>
              <w:rPr>
                <w:rFonts w:ascii="微软雅黑" w:eastAsia="微软雅黑" w:hAnsi="微软雅黑" w:cs="微软雅黑" w:hint="eastAsia"/>
                <w:b/>
                <w:bCs/>
                <w:sz w:val="21"/>
                <w:szCs w:val="21"/>
                <w:shd w:val="clear" w:color="auto" w:fill="FFFFFF"/>
              </w:rPr>
              <w:t>要求</w:t>
            </w:r>
          </w:p>
        </w:tc>
      </w:tr>
      <w:tr w:rsidR="003625DD" w14:paraId="610A6B58" w14:textId="77777777">
        <w:trPr>
          <w:trHeight w:val="545"/>
        </w:trPr>
        <w:tc>
          <w:tcPr>
            <w:tcW w:w="1242" w:type="dxa"/>
            <w:vAlign w:val="center"/>
          </w:tcPr>
          <w:p w14:paraId="04599E2A"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1</w:t>
            </w:r>
          </w:p>
        </w:tc>
        <w:tc>
          <w:tcPr>
            <w:tcW w:w="1843" w:type="dxa"/>
            <w:vAlign w:val="center"/>
          </w:tcPr>
          <w:p w14:paraId="7D156DB9"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环境管理</w:t>
            </w:r>
          </w:p>
        </w:tc>
        <w:tc>
          <w:tcPr>
            <w:tcW w:w="6306" w:type="dxa"/>
            <w:vAlign w:val="center"/>
          </w:tcPr>
          <w:p w14:paraId="3A1F4273"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w:t>
            </w:r>
            <w:r>
              <w:rPr>
                <w:rFonts w:ascii="宋体" w:eastAsia="宋体" w:hAnsi="宋体" w:cs="Times New Roman" w:hint="eastAsia"/>
                <w:color w:val="000000"/>
                <w:szCs w:val="21"/>
              </w:rPr>
              <w:t>知道医院环境的分类</w:t>
            </w:r>
            <w:r>
              <w:rPr>
                <w:rFonts w:ascii="宋体" w:eastAsia="宋体" w:hAnsi="宋体" w:cs="Times New Roman" w:hint="eastAsia"/>
                <w:color w:val="000000"/>
                <w:szCs w:val="21"/>
              </w:rPr>
              <w:t>、</w:t>
            </w:r>
            <w:r>
              <w:rPr>
                <w:rFonts w:ascii="宋体" w:eastAsia="宋体" w:hAnsi="宋体" w:cs="Times New Roman" w:hint="eastAsia"/>
                <w:color w:val="000000"/>
                <w:szCs w:val="21"/>
              </w:rPr>
              <w:t>良好的医院环境应具备的特点</w:t>
            </w:r>
            <w:r>
              <w:rPr>
                <w:rFonts w:ascii="宋体" w:eastAsia="宋体" w:hAnsi="宋体" w:cs="Times New Roman" w:hint="eastAsia"/>
                <w:color w:val="000000"/>
                <w:szCs w:val="21"/>
              </w:rPr>
              <w:t>、</w:t>
            </w:r>
            <w:r>
              <w:rPr>
                <w:rFonts w:ascii="宋体" w:eastAsia="宋体" w:hAnsi="宋体" w:cs="Times New Roman" w:hint="eastAsia"/>
                <w:color w:val="000000"/>
                <w:szCs w:val="21"/>
              </w:rPr>
              <w:t>医院环境调控的有关要素。</w:t>
            </w:r>
          </w:p>
          <w:p w14:paraId="5C451383"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w:t>
            </w:r>
            <w:r>
              <w:rPr>
                <w:rFonts w:ascii="宋体" w:eastAsia="宋体" w:hAnsi="宋体" w:cs="Times New Roman" w:hint="eastAsia"/>
                <w:color w:val="000000"/>
                <w:szCs w:val="21"/>
              </w:rPr>
              <w:t>.</w:t>
            </w:r>
            <w:r>
              <w:rPr>
                <w:rFonts w:ascii="宋体" w:eastAsia="宋体" w:hAnsi="宋体" w:cs="Times New Roman" w:hint="eastAsia"/>
                <w:color w:val="000000"/>
                <w:szCs w:val="21"/>
              </w:rPr>
              <w:t>能正确运用相关知识为病人创造安全、舒适的治疗环境。</w:t>
            </w:r>
          </w:p>
        </w:tc>
      </w:tr>
      <w:tr w:rsidR="003625DD" w14:paraId="74541129" w14:textId="77777777">
        <w:trPr>
          <w:trHeight w:val="545"/>
        </w:trPr>
        <w:tc>
          <w:tcPr>
            <w:tcW w:w="1242" w:type="dxa"/>
            <w:vAlign w:val="center"/>
          </w:tcPr>
          <w:p w14:paraId="67C4F83E"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2</w:t>
            </w:r>
          </w:p>
        </w:tc>
        <w:tc>
          <w:tcPr>
            <w:tcW w:w="1843" w:type="dxa"/>
            <w:vAlign w:val="center"/>
          </w:tcPr>
          <w:p w14:paraId="0A74443C"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医院感染的预防与控制</w:t>
            </w:r>
          </w:p>
        </w:tc>
        <w:tc>
          <w:tcPr>
            <w:tcW w:w="6306" w:type="dxa"/>
            <w:vAlign w:val="center"/>
          </w:tcPr>
          <w:p w14:paraId="296A5FE1"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w:t>
            </w:r>
            <w:r>
              <w:rPr>
                <w:rFonts w:ascii="宋体" w:eastAsia="宋体" w:hAnsi="宋体" w:cs="Times New Roman" w:hint="eastAsia"/>
                <w:color w:val="000000"/>
                <w:szCs w:val="21"/>
              </w:rPr>
              <w:t>知道医院感染的分类、形成原因及条件。</w:t>
            </w:r>
          </w:p>
          <w:p w14:paraId="70ED0969"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w:t>
            </w:r>
            <w:r>
              <w:rPr>
                <w:rFonts w:ascii="宋体" w:eastAsia="宋体" w:hAnsi="宋体" w:cs="Times New Roman" w:hint="eastAsia"/>
                <w:color w:val="000000"/>
                <w:szCs w:val="21"/>
              </w:rPr>
              <w:t>知道常用的消毒灭菌方法及注意事项。</w:t>
            </w:r>
          </w:p>
          <w:p w14:paraId="508EF6B5"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w:t>
            </w:r>
            <w:r>
              <w:rPr>
                <w:rFonts w:ascii="宋体" w:eastAsia="宋体" w:hAnsi="宋体" w:cs="Times New Roman" w:hint="eastAsia"/>
                <w:color w:val="000000"/>
                <w:szCs w:val="21"/>
              </w:rPr>
              <w:t>知道无菌技术操作原则和隔离原则。</w:t>
            </w:r>
          </w:p>
          <w:p w14:paraId="179B5772"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4.</w:t>
            </w:r>
            <w:r>
              <w:rPr>
                <w:rFonts w:ascii="宋体" w:eastAsia="宋体" w:hAnsi="宋体" w:cs="Times New Roman" w:hint="eastAsia"/>
                <w:color w:val="000000"/>
                <w:szCs w:val="21"/>
              </w:rPr>
              <w:t>理解医院感染、清洁、消毒、灭菌、手卫生、无菌技术、标准预防及隔离的概念。</w:t>
            </w:r>
          </w:p>
          <w:p w14:paraId="3D767426"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5.</w:t>
            </w:r>
            <w:r>
              <w:rPr>
                <w:rFonts w:ascii="宋体" w:eastAsia="宋体" w:hAnsi="宋体" w:cs="Times New Roman" w:hint="eastAsia"/>
                <w:color w:val="000000"/>
                <w:szCs w:val="21"/>
              </w:rPr>
              <w:t>理解隔离区域的划分标准、医院不同病区的建筑布局与隔离要求</w:t>
            </w:r>
            <w:r>
              <w:rPr>
                <w:rFonts w:ascii="宋体" w:eastAsia="宋体" w:hAnsi="宋体" w:cs="Times New Roman" w:hint="eastAsia"/>
                <w:color w:val="000000"/>
                <w:szCs w:val="21"/>
              </w:rPr>
              <w:t>、</w:t>
            </w:r>
            <w:r>
              <w:rPr>
                <w:rFonts w:ascii="宋体" w:eastAsia="宋体" w:hAnsi="宋体" w:cs="Times New Roman" w:hint="eastAsia"/>
                <w:color w:val="000000"/>
                <w:szCs w:val="21"/>
              </w:rPr>
              <w:t>常见的隔离类型及相应的隔离措施。</w:t>
            </w:r>
          </w:p>
          <w:p w14:paraId="0452B771"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6</w:t>
            </w:r>
            <w:r>
              <w:rPr>
                <w:rFonts w:ascii="宋体" w:eastAsia="宋体" w:hAnsi="宋体" w:cs="Times New Roman" w:hint="eastAsia"/>
                <w:color w:val="000000"/>
                <w:szCs w:val="21"/>
              </w:rPr>
              <w:t>.</w:t>
            </w:r>
            <w:r>
              <w:rPr>
                <w:rFonts w:ascii="宋体" w:eastAsia="宋体" w:hAnsi="宋体" w:cs="Times New Roman" w:hint="eastAsia"/>
                <w:color w:val="000000"/>
                <w:szCs w:val="21"/>
              </w:rPr>
              <w:t>能正确进行手卫生、无菌技术基本操作、隔离技术基本操作。</w:t>
            </w:r>
          </w:p>
        </w:tc>
      </w:tr>
      <w:tr w:rsidR="003625DD" w14:paraId="142ACA14" w14:textId="77777777">
        <w:trPr>
          <w:trHeight w:val="545"/>
        </w:trPr>
        <w:tc>
          <w:tcPr>
            <w:tcW w:w="1242" w:type="dxa"/>
            <w:vAlign w:val="center"/>
          </w:tcPr>
          <w:p w14:paraId="58234B0D"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3</w:t>
            </w:r>
          </w:p>
        </w:tc>
        <w:tc>
          <w:tcPr>
            <w:tcW w:w="1843" w:type="dxa"/>
            <w:vAlign w:val="center"/>
          </w:tcPr>
          <w:p w14:paraId="5D0326FC"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出入院护理</w:t>
            </w:r>
          </w:p>
        </w:tc>
        <w:tc>
          <w:tcPr>
            <w:tcW w:w="6306" w:type="dxa"/>
            <w:vAlign w:val="center"/>
          </w:tcPr>
          <w:p w14:paraId="5CFB75A6"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w:t>
            </w:r>
            <w:r>
              <w:rPr>
                <w:rFonts w:ascii="宋体" w:eastAsia="宋体" w:hAnsi="宋体" w:cs="Times New Roman" w:hint="eastAsia"/>
                <w:color w:val="000000"/>
                <w:szCs w:val="21"/>
              </w:rPr>
              <w:t>知道病人</w:t>
            </w:r>
            <w:proofErr w:type="gramStart"/>
            <w:r>
              <w:rPr>
                <w:rFonts w:ascii="宋体" w:eastAsia="宋体" w:hAnsi="宋体" w:cs="Times New Roman" w:hint="eastAsia"/>
                <w:color w:val="000000"/>
                <w:szCs w:val="21"/>
              </w:rPr>
              <w:t>床单位</w:t>
            </w:r>
            <w:proofErr w:type="gramEnd"/>
            <w:r>
              <w:rPr>
                <w:rFonts w:ascii="宋体" w:eastAsia="宋体" w:hAnsi="宋体" w:cs="Times New Roman" w:hint="eastAsia"/>
                <w:color w:val="000000"/>
                <w:szCs w:val="21"/>
              </w:rPr>
              <w:t>所包含的固定设备</w:t>
            </w:r>
            <w:r>
              <w:rPr>
                <w:rFonts w:ascii="宋体" w:eastAsia="宋体" w:hAnsi="宋体" w:cs="Times New Roman" w:hint="eastAsia"/>
                <w:color w:val="000000"/>
                <w:szCs w:val="21"/>
              </w:rPr>
              <w:t>、</w:t>
            </w:r>
            <w:r>
              <w:rPr>
                <w:rFonts w:ascii="宋体" w:eastAsia="宋体" w:hAnsi="宋体" w:cs="Times New Roman" w:hint="eastAsia"/>
                <w:color w:val="000000"/>
                <w:szCs w:val="21"/>
              </w:rPr>
              <w:t>入院护理和出院护理的目的。</w:t>
            </w:r>
          </w:p>
          <w:p w14:paraId="35DD54EC"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w:t>
            </w:r>
            <w:r>
              <w:rPr>
                <w:rFonts w:ascii="宋体" w:eastAsia="宋体" w:hAnsi="宋体" w:cs="Times New Roman" w:hint="eastAsia"/>
                <w:color w:val="000000"/>
                <w:szCs w:val="21"/>
              </w:rPr>
              <w:t>.</w:t>
            </w:r>
            <w:r>
              <w:rPr>
                <w:rFonts w:ascii="宋体" w:eastAsia="宋体" w:hAnsi="宋体" w:cs="Times New Roman" w:hint="eastAsia"/>
                <w:color w:val="000000"/>
                <w:szCs w:val="21"/>
              </w:rPr>
              <w:t>知道临床上常用卧位的适用范围及临床意义。</w:t>
            </w:r>
          </w:p>
          <w:p w14:paraId="070F9FA1"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w:t>
            </w:r>
            <w:r>
              <w:rPr>
                <w:rFonts w:ascii="宋体" w:eastAsia="宋体" w:hAnsi="宋体" w:cs="Times New Roman" w:hint="eastAsia"/>
                <w:color w:val="000000"/>
                <w:szCs w:val="21"/>
              </w:rPr>
              <w:t>.</w:t>
            </w:r>
            <w:r>
              <w:rPr>
                <w:rFonts w:ascii="宋体" w:eastAsia="宋体" w:hAnsi="宋体" w:cs="Times New Roman" w:hint="eastAsia"/>
                <w:color w:val="000000"/>
                <w:szCs w:val="21"/>
              </w:rPr>
              <w:t>知道分级护理的级别、适用对象及相应的护理要点。</w:t>
            </w:r>
          </w:p>
          <w:p w14:paraId="7D6B984F"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4</w:t>
            </w:r>
            <w:r>
              <w:rPr>
                <w:rFonts w:ascii="宋体" w:eastAsia="宋体" w:hAnsi="宋体" w:cs="Times New Roman" w:hint="eastAsia"/>
                <w:color w:val="000000"/>
                <w:szCs w:val="21"/>
              </w:rPr>
              <w:t>.</w:t>
            </w:r>
            <w:r>
              <w:rPr>
                <w:rFonts w:ascii="宋体" w:eastAsia="宋体" w:hAnsi="宋体" w:cs="Times New Roman" w:hint="eastAsia"/>
                <w:color w:val="000000"/>
                <w:szCs w:val="21"/>
              </w:rPr>
              <w:t>理解分级护理的概念。</w:t>
            </w:r>
          </w:p>
          <w:p w14:paraId="23BF1114"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5</w:t>
            </w:r>
            <w:r>
              <w:rPr>
                <w:rFonts w:ascii="宋体" w:eastAsia="宋体" w:hAnsi="宋体" w:cs="Times New Roman" w:hint="eastAsia"/>
                <w:color w:val="000000"/>
                <w:szCs w:val="21"/>
              </w:rPr>
              <w:t>.</w:t>
            </w:r>
            <w:r>
              <w:rPr>
                <w:rFonts w:ascii="宋体" w:eastAsia="宋体" w:hAnsi="宋体" w:cs="Times New Roman" w:hint="eastAsia"/>
                <w:color w:val="000000"/>
                <w:szCs w:val="21"/>
              </w:rPr>
              <w:t>理解卧位的分类方法、变换卧位法的目的、操作中的注意事项</w:t>
            </w:r>
            <w:r>
              <w:rPr>
                <w:rFonts w:ascii="宋体" w:eastAsia="宋体" w:hAnsi="宋体" w:cs="Times New Roman" w:hint="eastAsia"/>
                <w:color w:val="000000"/>
                <w:szCs w:val="21"/>
              </w:rPr>
              <w:t>、</w:t>
            </w:r>
            <w:r>
              <w:rPr>
                <w:rFonts w:ascii="宋体" w:eastAsia="宋体" w:hAnsi="宋体" w:cs="Times New Roman" w:hint="eastAsia"/>
                <w:color w:val="000000"/>
                <w:szCs w:val="21"/>
              </w:rPr>
              <w:t>在护理工作中保证病人平衡与稳定的措施。</w:t>
            </w:r>
          </w:p>
          <w:p w14:paraId="73FEE1D6"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6</w:t>
            </w:r>
            <w:r>
              <w:rPr>
                <w:rFonts w:ascii="宋体" w:eastAsia="宋体" w:hAnsi="宋体" w:cs="Times New Roman" w:hint="eastAsia"/>
                <w:color w:val="000000"/>
                <w:szCs w:val="21"/>
              </w:rPr>
              <w:t>.</w:t>
            </w:r>
            <w:r>
              <w:rPr>
                <w:rFonts w:ascii="宋体" w:eastAsia="宋体" w:hAnsi="宋体" w:cs="Times New Roman" w:hint="eastAsia"/>
                <w:color w:val="000000"/>
                <w:szCs w:val="21"/>
              </w:rPr>
              <w:t>能正确运用铺床方法为新病人、暂时离床病人、麻醉手术后病人或长期卧床病人准备安全、整洁、舒适的床单位；能为病人安置舒适卧位；能按正确的方法协助病人变换卧位；能正确使用轮椅或平车运</w:t>
            </w:r>
            <w:r>
              <w:rPr>
                <w:rFonts w:ascii="宋体" w:eastAsia="宋体" w:hAnsi="宋体" w:cs="Times New Roman" w:hint="eastAsia"/>
                <w:color w:val="000000"/>
                <w:szCs w:val="21"/>
              </w:rPr>
              <w:t>送</w:t>
            </w:r>
            <w:r>
              <w:rPr>
                <w:rFonts w:ascii="宋体" w:eastAsia="宋体" w:hAnsi="宋体" w:cs="Times New Roman" w:hint="eastAsia"/>
                <w:color w:val="000000"/>
                <w:szCs w:val="21"/>
              </w:rPr>
              <w:t>病人；能正确运用人体力学原理。</w:t>
            </w:r>
          </w:p>
        </w:tc>
      </w:tr>
      <w:tr w:rsidR="003625DD" w14:paraId="623E1B9B" w14:textId="77777777">
        <w:trPr>
          <w:trHeight w:val="545"/>
        </w:trPr>
        <w:tc>
          <w:tcPr>
            <w:tcW w:w="1242" w:type="dxa"/>
            <w:vAlign w:val="center"/>
          </w:tcPr>
          <w:p w14:paraId="48971424"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4</w:t>
            </w:r>
          </w:p>
        </w:tc>
        <w:tc>
          <w:tcPr>
            <w:tcW w:w="1843" w:type="dxa"/>
            <w:vAlign w:val="center"/>
          </w:tcPr>
          <w:p w14:paraId="66EC8FBA"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病人安全与护士职业防护</w:t>
            </w:r>
          </w:p>
        </w:tc>
        <w:tc>
          <w:tcPr>
            <w:tcW w:w="6306" w:type="dxa"/>
            <w:vAlign w:val="center"/>
          </w:tcPr>
          <w:p w14:paraId="1C52CCEE"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w:t>
            </w:r>
            <w:r>
              <w:rPr>
                <w:rFonts w:ascii="宋体" w:eastAsia="宋体" w:hAnsi="宋体" w:cs="Times New Roman" w:hint="eastAsia"/>
                <w:color w:val="000000"/>
                <w:szCs w:val="21"/>
              </w:rPr>
              <w:t>知道保护具、辅助器使用的目的及操作中的注意事项。</w:t>
            </w:r>
          </w:p>
          <w:p w14:paraId="2F8C91B1"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w:t>
            </w:r>
            <w:r>
              <w:rPr>
                <w:rFonts w:ascii="宋体" w:eastAsia="宋体" w:hAnsi="宋体" w:cs="Times New Roman" w:hint="eastAsia"/>
                <w:color w:val="000000"/>
                <w:szCs w:val="21"/>
              </w:rPr>
              <w:t>知道职业暴露的有害因素及对人体的影响。</w:t>
            </w:r>
          </w:p>
          <w:p w14:paraId="3EBDF4DD"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w:t>
            </w:r>
            <w:r>
              <w:rPr>
                <w:rFonts w:ascii="宋体" w:eastAsia="宋体" w:hAnsi="宋体" w:cs="Times New Roman" w:hint="eastAsia"/>
                <w:color w:val="000000"/>
                <w:szCs w:val="21"/>
              </w:rPr>
              <w:t>理解安全环境、保护具、职业暴露、护理职业暴露、职业防护、护理职业防护、标准预防及护理职业风险的概念。</w:t>
            </w:r>
          </w:p>
          <w:p w14:paraId="186799A7"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4.</w:t>
            </w:r>
            <w:r>
              <w:rPr>
                <w:rFonts w:ascii="宋体" w:eastAsia="宋体" w:hAnsi="宋体" w:cs="Times New Roman" w:hint="eastAsia"/>
                <w:color w:val="000000"/>
                <w:szCs w:val="21"/>
              </w:rPr>
              <w:t>理解医院常见的不安全因素</w:t>
            </w:r>
            <w:r>
              <w:rPr>
                <w:rFonts w:ascii="宋体" w:eastAsia="宋体" w:hAnsi="宋体" w:cs="Times New Roman" w:hint="eastAsia"/>
                <w:color w:val="000000"/>
                <w:szCs w:val="21"/>
              </w:rPr>
              <w:t>、</w:t>
            </w:r>
            <w:r>
              <w:rPr>
                <w:rFonts w:ascii="宋体" w:eastAsia="宋体" w:hAnsi="宋体" w:cs="Times New Roman" w:hint="eastAsia"/>
                <w:color w:val="000000"/>
                <w:szCs w:val="21"/>
              </w:rPr>
              <w:t>血源性病原体职业暴露、锐器伤、化疗药物职业</w:t>
            </w:r>
            <w:proofErr w:type="gramStart"/>
            <w:r>
              <w:rPr>
                <w:rFonts w:ascii="宋体" w:eastAsia="宋体" w:hAnsi="宋体" w:cs="Times New Roman" w:hint="eastAsia"/>
                <w:color w:val="000000"/>
                <w:szCs w:val="21"/>
              </w:rPr>
              <w:t>暴露及汞泄漏</w:t>
            </w:r>
            <w:proofErr w:type="gramEnd"/>
            <w:r>
              <w:rPr>
                <w:rFonts w:ascii="宋体" w:eastAsia="宋体" w:hAnsi="宋体" w:cs="Times New Roman" w:hint="eastAsia"/>
                <w:color w:val="000000"/>
                <w:szCs w:val="21"/>
              </w:rPr>
              <w:t>产生的原因及预防措施。</w:t>
            </w:r>
          </w:p>
          <w:p w14:paraId="597E6D90"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5</w:t>
            </w:r>
            <w:r>
              <w:rPr>
                <w:rFonts w:ascii="宋体" w:eastAsia="宋体" w:hAnsi="宋体" w:cs="Times New Roman" w:hint="eastAsia"/>
                <w:color w:val="000000"/>
                <w:szCs w:val="21"/>
              </w:rPr>
              <w:t>.</w:t>
            </w:r>
            <w:r>
              <w:rPr>
                <w:rFonts w:ascii="宋体" w:eastAsia="宋体" w:hAnsi="宋体" w:cs="Times New Roman" w:hint="eastAsia"/>
                <w:color w:val="000000"/>
                <w:szCs w:val="21"/>
              </w:rPr>
              <w:t>能正确选择和科学使用各种保护具及辅助器具保证病人安全；正确处理锐器伤，并采取有效的、针对性的防护措施。</w:t>
            </w:r>
          </w:p>
        </w:tc>
      </w:tr>
      <w:tr w:rsidR="003625DD" w14:paraId="35E9CC39" w14:textId="77777777">
        <w:trPr>
          <w:trHeight w:val="274"/>
        </w:trPr>
        <w:tc>
          <w:tcPr>
            <w:tcW w:w="1242" w:type="dxa"/>
            <w:vAlign w:val="center"/>
          </w:tcPr>
          <w:p w14:paraId="03B5F18A"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5</w:t>
            </w:r>
          </w:p>
        </w:tc>
        <w:tc>
          <w:tcPr>
            <w:tcW w:w="1843" w:type="dxa"/>
            <w:vAlign w:val="center"/>
          </w:tcPr>
          <w:p w14:paraId="75FFE1A5"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清洁护理</w:t>
            </w:r>
          </w:p>
        </w:tc>
        <w:tc>
          <w:tcPr>
            <w:tcW w:w="6306" w:type="dxa"/>
            <w:vAlign w:val="center"/>
          </w:tcPr>
          <w:p w14:paraId="74805EB7"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w:t>
            </w:r>
            <w:r>
              <w:rPr>
                <w:rFonts w:ascii="宋体" w:eastAsia="宋体" w:hAnsi="宋体" w:cs="Times New Roman" w:hint="eastAsia"/>
                <w:color w:val="000000"/>
                <w:szCs w:val="21"/>
              </w:rPr>
              <w:t>知道口腔护理、头发护理、皮肤护理及会阴部护理的评估内容、目的和操作注意事项。</w:t>
            </w:r>
          </w:p>
          <w:p w14:paraId="7BBE8258"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w:t>
            </w:r>
            <w:r>
              <w:rPr>
                <w:rFonts w:ascii="宋体" w:eastAsia="宋体" w:hAnsi="宋体" w:cs="Times New Roman" w:hint="eastAsia"/>
                <w:color w:val="000000"/>
                <w:szCs w:val="21"/>
              </w:rPr>
              <w:t>知道常用的口腔护理溶液及其作用。</w:t>
            </w:r>
          </w:p>
          <w:p w14:paraId="569B7183"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w:t>
            </w:r>
            <w:r>
              <w:rPr>
                <w:rFonts w:ascii="宋体" w:eastAsia="宋体" w:hAnsi="宋体" w:cs="Times New Roman" w:hint="eastAsia"/>
                <w:color w:val="000000"/>
                <w:szCs w:val="21"/>
              </w:rPr>
              <w:t>知道压</w:t>
            </w:r>
            <w:proofErr w:type="gramStart"/>
            <w:r>
              <w:rPr>
                <w:rFonts w:ascii="宋体" w:eastAsia="宋体" w:hAnsi="宋体" w:cs="Times New Roman" w:hint="eastAsia"/>
                <w:color w:val="000000"/>
                <w:szCs w:val="21"/>
              </w:rPr>
              <w:t>疮发生</w:t>
            </w:r>
            <w:proofErr w:type="gramEnd"/>
            <w:r>
              <w:rPr>
                <w:rFonts w:ascii="宋体" w:eastAsia="宋体" w:hAnsi="宋体" w:cs="Times New Roman" w:hint="eastAsia"/>
                <w:color w:val="000000"/>
                <w:szCs w:val="21"/>
              </w:rPr>
              <w:t>的原因、高危人群及易患部位。</w:t>
            </w:r>
          </w:p>
          <w:p w14:paraId="245E9F0F"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4.</w:t>
            </w:r>
            <w:r>
              <w:rPr>
                <w:rFonts w:ascii="宋体" w:eastAsia="宋体" w:hAnsi="宋体" w:cs="Times New Roman" w:hint="eastAsia"/>
                <w:color w:val="000000"/>
                <w:szCs w:val="21"/>
              </w:rPr>
              <w:t>理解压疮、剪切力的概念</w:t>
            </w:r>
            <w:r>
              <w:rPr>
                <w:rFonts w:ascii="宋体" w:eastAsia="宋体" w:hAnsi="宋体" w:cs="Times New Roman" w:hint="eastAsia"/>
                <w:color w:val="000000"/>
                <w:szCs w:val="21"/>
              </w:rPr>
              <w:t>、</w:t>
            </w:r>
            <w:r>
              <w:rPr>
                <w:rFonts w:ascii="宋体" w:eastAsia="宋体" w:hAnsi="宋体" w:cs="Times New Roman" w:hint="eastAsia"/>
                <w:color w:val="000000"/>
                <w:szCs w:val="21"/>
              </w:rPr>
              <w:t>压</w:t>
            </w:r>
            <w:proofErr w:type="gramStart"/>
            <w:r>
              <w:rPr>
                <w:rFonts w:ascii="宋体" w:eastAsia="宋体" w:hAnsi="宋体" w:cs="Times New Roman" w:hint="eastAsia"/>
                <w:color w:val="000000"/>
                <w:szCs w:val="21"/>
              </w:rPr>
              <w:t>疮发生</w:t>
            </w:r>
            <w:proofErr w:type="gramEnd"/>
            <w:r>
              <w:rPr>
                <w:rFonts w:ascii="宋体" w:eastAsia="宋体" w:hAnsi="宋体" w:cs="Times New Roman" w:hint="eastAsia"/>
                <w:color w:val="000000"/>
                <w:szCs w:val="21"/>
              </w:rPr>
              <w:t>的高危人群及预防措施、压疮各期的临床表现、预防压疮的护理措施。</w:t>
            </w:r>
          </w:p>
          <w:p w14:paraId="5D08CE93"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5.</w:t>
            </w:r>
            <w:r>
              <w:rPr>
                <w:rFonts w:ascii="宋体" w:eastAsia="宋体" w:hAnsi="宋体" w:cs="Times New Roman" w:hint="eastAsia"/>
                <w:color w:val="000000"/>
                <w:szCs w:val="21"/>
              </w:rPr>
              <w:t>能正确进行口腔护理、头发护理、皮肤护理、</w:t>
            </w:r>
            <w:r>
              <w:rPr>
                <w:rFonts w:ascii="宋体" w:eastAsia="宋体" w:hAnsi="宋体" w:cs="Times New Roman" w:hint="eastAsia"/>
                <w:color w:val="000000"/>
                <w:szCs w:val="21"/>
              </w:rPr>
              <w:t>会阴部</w:t>
            </w:r>
            <w:proofErr w:type="gramStart"/>
            <w:r>
              <w:rPr>
                <w:rFonts w:ascii="宋体" w:eastAsia="宋体" w:hAnsi="宋体" w:cs="Times New Roman" w:hint="eastAsia"/>
                <w:color w:val="000000"/>
                <w:szCs w:val="21"/>
              </w:rPr>
              <w:t>护理及晨晚间</w:t>
            </w:r>
            <w:proofErr w:type="gramEnd"/>
            <w:r>
              <w:rPr>
                <w:rFonts w:ascii="宋体" w:eastAsia="宋体" w:hAnsi="宋体" w:cs="Times New Roman" w:hint="eastAsia"/>
                <w:color w:val="000000"/>
                <w:szCs w:val="21"/>
              </w:rPr>
              <w:t>护理；正确指导病人采取有效措施预防压疮的发生。</w:t>
            </w:r>
          </w:p>
        </w:tc>
      </w:tr>
      <w:tr w:rsidR="003625DD" w14:paraId="0E70788D" w14:textId="77777777">
        <w:trPr>
          <w:trHeight w:val="545"/>
        </w:trPr>
        <w:tc>
          <w:tcPr>
            <w:tcW w:w="1242" w:type="dxa"/>
            <w:vAlign w:val="center"/>
          </w:tcPr>
          <w:p w14:paraId="654C72FB"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lastRenderedPageBreak/>
              <w:t>6</w:t>
            </w:r>
          </w:p>
        </w:tc>
        <w:tc>
          <w:tcPr>
            <w:tcW w:w="1843" w:type="dxa"/>
            <w:vAlign w:val="center"/>
          </w:tcPr>
          <w:p w14:paraId="40E403F1"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休息与活动</w:t>
            </w:r>
          </w:p>
        </w:tc>
        <w:tc>
          <w:tcPr>
            <w:tcW w:w="6306" w:type="dxa"/>
          </w:tcPr>
          <w:p w14:paraId="0677F897"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w:t>
            </w:r>
            <w:r>
              <w:rPr>
                <w:rFonts w:ascii="宋体" w:eastAsia="宋体" w:hAnsi="宋体" w:cs="Times New Roman" w:hint="eastAsia"/>
                <w:color w:val="000000"/>
                <w:szCs w:val="21"/>
              </w:rPr>
              <w:t>知道睡眠各时相的特点、失眠的原因及诊断标准</w:t>
            </w:r>
            <w:r>
              <w:rPr>
                <w:rFonts w:ascii="宋体" w:eastAsia="宋体" w:hAnsi="宋体" w:cs="Times New Roman" w:hint="eastAsia"/>
                <w:color w:val="000000"/>
                <w:szCs w:val="21"/>
              </w:rPr>
              <w:t>、</w:t>
            </w:r>
            <w:r>
              <w:rPr>
                <w:rFonts w:ascii="宋体" w:eastAsia="宋体" w:hAnsi="宋体" w:cs="Times New Roman" w:hint="eastAsia"/>
                <w:color w:val="000000"/>
                <w:szCs w:val="21"/>
              </w:rPr>
              <w:t>关节活动练习的目的。</w:t>
            </w:r>
          </w:p>
          <w:p w14:paraId="438869A2"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w:t>
            </w:r>
            <w:r>
              <w:rPr>
                <w:rFonts w:ascii="宋体" w:eastAsia="宋体" w:hAnsi="宋体" w:cs="Times New Roman" w:hint="eastAsia"/>
                <w:color w:val="000000"/>
                <w:szCs w:val="21"/>
              </w:rPr>
              <w:t>.</w:t>
            </w:r>
            <w:r>
              <w:rPr>
                <w:rFonts w:ascii="宋体" w:eastAsia="宋体" w:hAnsi="宋体" w:cs="Times New Roman" w:hint="eastAsia"/>
                <w:color w:val="000000"/>
                <w:szCs w:val="21"/>
              </w:rPr>
              <w:t>理解住院病人睡眠的特点</w:t>
            </w:r>
            <w:r>
              <w:rPr>
                <w:rFonts w:ascii="宋体" w:eastAsia="宋体" w:hAnsi="宋体" w:cs="Times New Roman" w:hint="eastAsia"/>
                <w:color w:val="000000"/>
                <w:szCs w:val="21"/>
              </w:rPr>
              <w:t>、</w:t>
            </w:r>
            <w:r>
              <w:rPr>
                <w:rFonts w:ascii="宋体" w:eastAsia="宋体" w:hAnsi="宋体" w:cs="Times New Roman" w:hint="eastAsia"/>
                <w:color w:val="000000"/>
                <w:szCs w:val="21"/>
              </w:rPr>
              <w:t>活动受限的原因及对机体的影响、病人的肌力和机体活动能力的级别。</w:t>
            </w:r>
          </w:p>
          <w:p w14:paraId="63494F34"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w:t>
            </w:r>
            <w:r>
              <w:rPr>
                <w:rFonts w:ascii="宋体" w:eastAsia="宋体" w:hAnsi="宋体" w:cs="Times New Roman" w:hint="eastAsia"/>
                <w:color w:val="000000"/>
                <w:szCs w:val="21"/>
              </w:rPr>
              <w:t>.</w:t>
            </w:r>
            <w:r>
              <w:rPr>
                <w:rFonts w:ascii="宋体" w:eastAsia="宋体" w:hAnsi="宋体" w:cs="Times New Roman" w:hint="eastAsia"/>
                <w:color w:val="000000"/>
                <w:szCs w:val="21"/>
              </w:rPr>
              <w:t>能采取有效的护理措施促进病人的睡眠、协助病人活动。</w:t>
            </w:r>
          </w:p>
        </w:tc>
      </w:tr>
      <w:tr w:rsidR="003625DD" w14:paraId="09BB4D2A" w14:textId="77777777">
        <w:trPr>
          <w:trHeight w:val="545"/>
        </w:trPr>
        <w:tc>
          <w:tcPr>
            <w:tcW w:w="1242" w:type="dxa"/>
            <w:vAlign w:val="center"/>
          </w:tcPr>
          <w:p w14:paraId="0BCD79F7"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7</w:t>
            </w:r>
          </w:p>
        </w:tc>
        <w:tc>
          <w:tcPr>
            <w:tcW w:w="1843" w:type="dxa"/>
            <w:vAlign w:val="center"/>
          </w:tcPr>
          <w:p w14:paraId="64CCA9CE"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文件管理与书写</w:t>
            </w:r>
          </w:p>
        </w:tc>
        <w:tc>
          <w:tcPr>
            <w:tcW w:w="6306" w:type="dxa"/>
          </w:tcPr>
          <w:p w14:paraId="1A9B4311"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w:t>
            </w:r>
            <w:r>
              <w:rPr>
                <w:rFonts w:ascii="宋体" w:eastAsia="宋体" w:hAnsi="宋体" w:cs="Times New Roman" w:hint="eastAsia"/>
                <w:color w:val="000000"/>
                <w:szCs w:val="21"/>
              </w:rPr>
              <w:t>知道医疗与护理文件的记录原则及管理要求、医嘱处理的注意事项、病区交班报告书写顺序及要求。</w:t>
            </w:r>
          </w:p>
          <w:p w14:paraId="5168A6FC"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w:t>
            </w:r>
            <w:r>
              <w:rPr>
                <w:rFonts w:ascii="宋体" w:eastAsia="宋体" w:hAnsi="宋体" w:cs="Times New Roman" w:hint="eastAsia"/>
                <w:color w:val="000000"/>
                <w:szCs w:val="21"/>
              </w:rPr>
              <w:t>理解医疗与护理文件记录的重要性、医嘱的种类。</w:t>
            </w:r>
          </w:p>
          <w:p w14:paraId="36DAFA26"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w:t>
            </w:r>
            <w:r>
              <w:rPr>
                <w:rFonts w:ascii="宋体" w:eastAsia="宋体" w:hAnsi="宋体" w:cs="Times New Roman" w:hint="eastAsia"/>
                <w:color w:val="000000"/>
                <w:szCs w:val="21"/>
              </w:rPr>
              <w:t>能正确绘制体温单、处理各种医嘱、书写出入</w:t>
            </w:r>
            <w:proofErr w:type="gramStart"/>
            <w:r>
              <w:rPr>
                <w:rFonts w:ascii="宋体" w:eastAsia="宋体" w:hAnsi="宋体" w:cs="Times New Roman" w:hint="eastAsia"/>
                <w:color w:val="000000"/>
                <w:szCs w:val="21"/>
              </w:rPr>
              <w:t>液记录</w:t>
            </w:r>
            <w:proofErr w:type="gramEnd"/>
            <w:r>
              <w:rPr>
                <w:rFonts w:ascii="宋体" w:eastAsia="宋体" w:hAnsi="宋体" w:cs="Times New Roman" w:hint="eastAsia"/>
                <w:color w:val="000000"/>
                <w:szCs w:val="21"/>
              </w:rPr>
              <w:t>单、特殊护理记录单、病区交班报告。</w:t>
            </w:r>
          </w:p>
        </w:tc>
      </w:tr>
      <w:tr w:rsidR="003625DD" w14:paraId="3CDD033A" w14:textId="77777777">
        <w:trPr>
          <w:trHeight w:val="545"/>
        </w:trPr>
        <w:tc>
          <w:tcPr>
            <w:tcW w:w="1242" w:type="dxa"/>
            <w:vAlign w:val="center"/>
          </w:tcPr>
          <w:p w14:paraId="718BF110"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8</w:t>
            </w:r>
          </w:p>
        </w:tc>
        <w:tc>
          <w:tcPr>
            <w:tcW w:w="1843" w:type="dxa"/>
            <w:vAlign w:val="center"/>
          </w:tcPr>
          <w:p w14:paraId="20ABE47B"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生命体征评估与护理</w:t>
            </w:r>
          </w:p>
        </w:tc>
        <w:tc>
          <w:tcPr>
            <w:tcW w:w="6306" w:type="dxa"/>
          </w:tcPr>
          <w:p w14:paraId="7D690B49"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w:t>
            </w:r>
            <w:r>
              <w:rPr>
                <w:rFonts w:ascii="宋体" w:eastAsia="宋体" w:hAnsi="宋体" w:cs="Times New Roman" w:hint="eastAsia"/>
                <w:color w:val="000000"/>
                <w:szCs w:val="21"/>
              </w:rPr>
              <w:t>知道体温、脉搏、呼吸、血压的正常值</w:t>
            </w:r>
            <w:r>
              <w:rPr>
                <w:rFonts w:ascii="宋体" w:eastAsia="宋体" w:hAnsi="宋体" w:cs="Times New Roman" w:hint="eastAsia"/>
                <w:color w:val="000000"/>
                <w:szCs w:val="21"/>
              </w:rPr>
              <w:t>及</w:t>
            </w:r>
            <w:r>
              <w:rPr>
                <w:rFonts w:ascii="宋体" w:eastAsia="宋体" w:hAnsi="宋体" w:cs="Times New Roman" w:hint="eastAsia"/>
                <w:color w:val="000000"/>
                <w:szCs w:val="21"/>
              </w:rPr>
              <w:t>生理变化。</w:t>
            </w:r>
          </w:p>
          <w:p w14:paraId="41E2F019"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w:t>
            </w:r>
            <w:r>
              <w:rPr>
                <w:rFonts w:ascii="宋体" w:eastAsia="宋体" w:hAnsi="宋体" w:cs="Times New Roman" w:hint="eastAsia"/>
                <w:color w:val="000000"/>
                <w:szCs w:val="21"/>
              </w:rPr>
              <w:t>理解体温过高、体温过低、稽留热、弛张热、间歇热、不规则热、心动过速、心动过缓、间歇脉、脉搏短绌、洪脉、细脉、交替脉、水冲脉、奇脉、高血压、低血压、呼吸增快、呼吸减慢、深度呼吸、潮式呼吸、间断呼吸、胸叩击、体位引流、吸痰法及氧气疗法的概念。</w:t>
            </w:r>
          </w:p>
          <w:p w14:paraId="3A21BD3C"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w:t>
            </w:r>
            <w:r>
              <w:rPr>
                <w:rFonts w:ascii="宋体" w:eastAsia="宋体" w:hAnsi="宋体" w:cs="Times New Roman" w:hint="eastAsia"/>
                <w:color w:val="000000"/>
                <w:szCs w:val="21"/>
              </w:rPr>
              <w:t>理解异常体温、脉搏、呼吸、血压</w:t>
            </w:r>
            <w:r>
              <w:rPr>
                <w:rFonts w:ascii="宋体" w:eastAsia="宋体" w:hAnsi="宋体" w:cs="Times New Roman" w:hint="eastAsia"/>
                <w:color w:val="000000"/>
                <w:szCs w:val="21"/>
              </w:rPr>
              <w:t>及</w:t>
            </w:r>
            <w:r>
              <w:rPr>
                <w:rFonts w:ascii="宋体" w:eastAsia="宋体" w:hAnsi="宋体" w:cs="Times New Roman" w:hint="eastAsia"/>
                <w:color w:val="000000"/>
                <w:szCs w:val="21"/>
              </w:rPr>
              <w:t>吸痰方法。</w:t>
            </w:r>
          </w:p>
          <w:p w14:paraId="3B656B95"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4.</w:t>
            </w:r>
            <w:r>
              <w:rPr>
                <w:rFonts w:ascii="宋体" w:eastAsia="宋体" w:hAnsi="宋体" w:cs="Times New Roman" w:hint="eastAsia"/>
                <w:color w:val="000000"/>
                <w:szCs w:val="21"/>
              </w:rPr>
              <w:t>能</w:t>
            </w:r>
            <w:r>
              <w:rPr>
                <w:rFonts w:ascii="宋体" w:eastAsia="宋体" w:hAnsi="宋体" w:cs="Times New Roman" w:hint="eastAsia"/>
                <w:color w:val="000000"/>
                <w:szCs w:val="21"/>
              </w:rPr>
              <w:t>正确测量和记录体温、脉搏、呼吸、血压；对缺氧病人实施正确的氧气疗法。</w:t>
            </w:r>
          </w:p>
        </w:tc>
      </w:tr>
      <w:tr w:rsidR="003625DD" w14:paraId="14413863" w14:textId="77777777">
        <w:trPr>
          <w:trHeight w:val="545"/>
        </w:trPr>
        <w:tc>
          <w:tcPr>
            <w:tcW w:w="1242" w:type="dxa"/>
            <w:vAlign w:val="center"/>
          </w:tcPr>
          <w:p w14:paraId="05D1A895"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9</w:t>
            </w:r>
          </w:p>
        </w:tc>
        <w:tc>
          <w:tcPr>
            <w:tcW w:w="1843" w:type="dxa"/>
            <w:vAlign w:val="center"/>
          </w:tcPr>
          <w:p w14:paraId="573D0DCE"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冷热疗法</w:t>
            </w:r>
          </w:p>
        </w:tc>
        <w:tc>
          <w:tcPr>
            <w:tcW w:w="6306" w:type="dxa"/>
          </w:tcPr>
          <w:p w14:paraId="5C478215"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w:t>
            </w:r>
            <w:r>
              <w:rPr>
                <w:rFonts w:ascii="宋体" w:eastAsia="宋体" w:hAnsi="宋体" w:cs="Times New Roman" w:hint="eastAsia"/>
                <w:color w:val="000000"/>
                <w:szCs w:val="21"/>
              </w:rPr>
              <w:t>知道冷、热疗法的生理效应和继发效应、影响冷、热疗法效果的因素。</w:t>
            </w:r>
          </w:p>
          <w:p w14:paraId="3E564F33"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w:t>
            </w:r>
            <w:r>
              <w:rPr>
                <w:rFonts w:ascii="宋体" w:eastAsia="宋体" w:hAnsi="宋体" w:cs="Times New Roman" w:hint="eastAsia"/>
                <w:color w:val="000000"/>
                <w:szCs w:val="21"/>
              </w:rPr>
              <w:t>理解冷、热疗法、继发效应的概念、冷疗法和热疗法的禁忌、各种冷疗法、热疗法的目的和方法。</w:t>
            </w:r>
          </w:p>
          <w:p w14:paraId="10291CC4"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w:t>
            </w:r>
            <w:r>
              <w:rPr>
                <w:rFonts w:ascii="宋体" w:eastAsia="宋体" w:hAnsi="宋体" w:cs="Times New Roman" w:hint="eastAsia"/>
                <w:color w:val="000000"/>
                <w:szCs w:val="21"/>
              </w:rPr>
              <w:t>能运用所学知识正确选择并实施冷、热疗法。</w:t>
            </w:r>
          </w:p>
        </w:tc>
      </w:tr>
      <w:tr w:rsidR="003625DD" w14:paraId="1944E91E" w14:textId="77777777">
        <w:trPr>
          <w:trHeight w:val="545"/>
        </w:trPr>
        <w:tc>
          <w:tcPr>
            <w:tcW w:w="1242" w:type="dxa"/>
            <w:vAlign w:val="center"/>
          </w:tcPr>
          <w:p w14:paraId="251CF5C0"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10</w:t>
            </w:r>
          </w:p>
        </w:tc>
        <w:tc>
          <w:tcPr>
            <w:tcW w:w="1843" w:type="dxa"/>
            <w:vAlign w:val="center"/>
          </w:tcPr>
          <w:p w14:paraId="630C7AAC" w14:textId="77777777" w:rsidR="003625DD" w:rsidRDefault="002618DD">
            <w:pPr>
              <w:snapToGrid w:val="0"/>
              <w:spacing w:line="288" w:lineRule="auto"/>
              <w:jc w:val="center"/>
              <w:rPr>
                <w:rFonts w:ascii="微软雅黑" w:eastAsia="微软雅黑" w:hAnsi="微软雅黑" w:cs="微软雅黑"/>
                <w:bCs/>
                <w:kern w:val="0"/>
                <w:szCs w:val="21"/>
                <w:shd w:val="clear" w:color="auto" w:fill="FFFFFF"/>
              </w:rPr>
            </w:pPr>
            <w:r>
              <w:rPr>
                <w:rFonts w:ascii="微软雅黑" w:eastAsia="微软雅黑" w:hAnsi="微软雅黑" w:cs="微软雅黑" w:hint="eastAsia"/>
                <w:bCs/>
                <w:kern w:val="0"/>
                <w:szCs w:val="21"/>
                <w:shd w:val="clear" w:color="auto" w:fill="FFFFFF"/>
              </w:rPr>
              <w:t>饮食护理</w:t>
            </w:r>
          </w:p>
        </w:tc>
        <w:tc>
          <w:tcPr>
            <w:tcW w:w="6306" w:type="dxa"/>
          </w:tcPr>
          <w:p w14:paraId="70CB13F7"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w:t>
            </w:r>
            <w:r>
              <w:rPr>
                <w:rFonts w:ascii="宋体" w:eastAsia="宋体" w:hAnsi="宋体" w:cs="Times New Roman" w:hint="eastAsia"/>
                <w:color w:val="000000"/>
                <w:szCs w:val="21"/>
              </w:rPr>
              <w:t>知道医院饮食的类别及各类饮食的种类、原则与适用范围。</w:t>
            </w:r>
          </w:p>
          <w:p w14:paraId="39C9D1C2"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w:t>
            </w:r>
            <w:r>
              <w:rPr>
                <w:rFonts w:ascii="宋体" w:eastAsia="宋体" w:hAnsi="宋体" w:cs="Times New Roman" w:hint="eastAsia"/>
                <w:color w:val="000000"/>
                <w:szCs w:val="21"/>
              </w:rPr>
              <w:t>知道鼻饲术的适应证、禁忌证及注意事项。</w:t>
            </w:r>
          </w:p>
          <w:p w14:paraId="0E80D007"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w:t>
            </w:r>
            <w:r>
              <w:rPr>
                <w:rFonts w:ascii="宋体" w:eastAsia="宋体" w:hAnsi="宋体" w:cs="Times New Roman" w:hint="eastAsia"/>
                <w:color w:val="000000"/>
                <w:szCs w:val="21"/>
              </w:rPr>
              <w:t>理解治疗饮食、试验饮食、鼻饲法、要素饮食、胃肠外营养的概念。</w:t>
            </w:r>
          </w:p>
          <w:p w14:paraId="7EB95A21"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4.</w:t>
            </w:r>
            <w:r>
              <w:rPr>
                <w:rFonts w:ascii="宋体" w:eastAsia="宋体" w:hAnsi="宋体" w:cs="Times New Roman" w:hint="eastAsia"/>
                <w:color w:val="000000"/>
                <w:szCs w:val="21"/>
              </w:rPr>
              <w:t>理解要素饮食、胃肠外营养的并发症及注意事项。</w:t>
            </w:r>
          </w:p>
          <w:p w14:paraId="27C3B008"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5.</w:t>
            </w:r>
            <w:r>
              <w:rPr>
                <w:rFonts w:ascii="宋体" w:eastAsia="宋体" w:hAnsi="宋体" w:cs="Times New Roman" w:hint="eastAsia"/>
                <w:color w:val="000000"/>
                <w:szCs w:val="21"/>
              </w:rPr>
              <w:t>能规范地进行鼻饲法管喂饮食操作、能正确运用三种方法检查胃管是否在胃内。</w:t>
            </w:r>
          </w:p>
        </w:tc>
      </w:tr>
      <w:tr w:rsidR="003625DD" w14:paraId="5B0CE038" w14:textId="77777777">
        <w:trPr>
          <w:trHeight w:val="545"/>
        </w:trPr>
        <w:tc>
          <w:tcPr>
            <w:tcW w:w="1242" w:type="dxa"/>
            <w:vAlign w:val="center"/>
          </w:tcPr>
          <w:p w14:paraId="03AFDEF2"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11</w:t>
            </w:r>
          </w:p>
        </w:tc>
        <w:tc>
          <w:tcPr>
            <w:tcW w:w="1843" w:type="dxa"/>
            <w:vAlign w:val="center"/>
          </w:tcPr>
          <w:p w14:paraId="0D08A27D" w14:textId="77777777" w:rsidR="003625DD" w:rsidRDefault="002618DD">
            <w:pPr>
              <w:snapToGrid w:val="0"/>
              <w:spacing w:line="288" w:lineRule="auto"/>
              <w:jc w:val="center"/>
              <w:rPr>
                <w:rFonts w:ascii="微软雅黑" w:eastAsia="微软雅黑" w:hAnsi="微软雅黑" w:cs="微软雅黑"/>
                <w:bCs/>
                <w:kern w:val="0"/>
                <w:szCs w:val="21"/>
                <w:shd w:val="clear" w:color="auto" w:fill="FFFFFF"/>
              </w:rPr>
            </w:pPr>
            <w:r>
              <w:rPr>
                <w:rFonts w:ascii="微软雅黑" w:eastAsia="微软雅黑" w:hAnsi="微软雅黑" w:cs="微软雅黑" w:hint="eastAsia"/>
                <w:bCs/>
                <w:kern w:val="0"/>
                <w:szCs w:val="21"/>
                <w:shd w:val="clear" w:color="auto" w:fill="FFFFFF"/>
              </w:rPr>
              <w:t>排泄护理</w:t>
            </w:r>
          </w:p>
        </w:tc>
        <w:tc>
          <w:tcPr>
            <w:tcW w:w="6306" w:type="dxa"/>
          </w:tcPr>
          <w:p w14:paraId="1F4E4E35"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w:t>
            </w:r>
            <w:r>
              <w:rPr>
                <w:rFonts w:ascii="宋体" w:eastAsia="宋体" w:hAnsi="宋体" w:cs="Times New Roman" w:hint="eastAsia"/>
                <w:color w:val="000000"/>
                <w:szCs w:val="21"/>
              </w:rPr>
              <w:t>知道与排便、排尿有关的解剖和生理、尿液、粪便观察的主要内容。</w:t>
            </w:r>
          </w:p>
          <w:p w14:paraId="1A1B14F5"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w:t>
            </w:r>
            <w:r>
              <w:rPr>
                <w:rFonts w:ascii="宋体" w:eastAsia="宋体" w:hAnsi="宋体" w:cs="Times New Roman" w:hint="eastAsia"/>
                <w:color w:val="000000"/>
                <w:szCs w:val="21"/>
              </w:rPr>
              <w:t>理解多尿、少尿、无尿、膀胱刺激征、尿潴留、尿失禁、导尿术、便秘、腹泻、排便失禁、灌肠法及肛管排气的概念。</w:t>
            </w:r>
          </w:p>
          <w:p w14:paraId="1BFFBC58"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w:t>
            </w:r>
            <w:r>
              <w:rPr>
                <w:rFonts w:ascii="宋体" w:eastAsia="宋体" w:hAnsi="宋体" w:cs="Times New Roman" w:hint="eastAsia"/>
                <w:color w:val="000000"/>
                <w:szCs w:val="21"/>
              </w:rPr>
              <w:t>理解影响排便、排尿的因素、导致排尿、排便异常的原因、留置导尿术病人的护理要点。</w:t>
            </w:r>
          </w:p>
          <w:p w14:paraId="3CE93E6E"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4.</w:t>
            </w:r>
            <w:r>
              <w:rPr>
                <w:rFonts w:ascii="宋体" w:eastAsia="宋体" w:hAnsi="宋体" w:cs="Times New Roman" w:hint="eastAsia"/>
                <w:color w:val="000000"/>
                <w:szCs w:val="21"/>
              </w:rPr>
              <w:t>能规范完成导尿术、留置导尿术、大量不保留灌肠和保留灌肠的操作技术；能选择恰当的护理措施对排尿异常及排便异常病人进行护理。</w:t>
            </w:r>
          </w:p>
        </w:tc>
      </w:tr>
      <w:tr w:rsidR="003625DD" w14:paraId="7A215FB1" w14:textId="77777777">
        <w:trPr>
          <w:trHeight w:val="545"/>
        </w:trPr>
        <w:tc>
          <w:tcPr>
            <w:tcW w:w="1242" w:type="dxa"/>
            <w:vAlign w:val="center"/>
          </w:tcPr>
          <w:p w14:paraId="1802B184"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12</w:t>
            </w:r>
          </w:p>
        </w:tc>
        <w:tc>
          <w:tcPr>
            <w:tcW w:w="1843" w:type="dxa"/>
            <w:vAlign w:val="center"/>
          </w:tcPr>
          <w:p w14:paraId="3A60E161" w14:textId="77777777" w:rsidR="003625DD" w:rsidRDefault="002618DD">
            <w:pPr>
              <w:snapToGrid w:val="0"/>
              <w:spacing w:line="288" w:lineRule="auto"/>
              <w:jc w:val="center"/>
              <w:rPr>
                <w:rFonts w:ascii="微软雅黑" w:eastAsia="微软雅黑" w:hAnsi="微软雅黑" w:cs="微软雅黑"/>
                <w:bCs/>
                <w:kern w:val="0"/>
                <w:szCs w:val="21"/>
                <w:shd w:val="clear" w:color="auto" w:fill="FFFFFF"/>
              </w:rPr>
            </w:pPr>
            <w:r>
              <w:rPr>
                <w:rFonts w:ascii="微软雅黑" w:eastAsia="微软雅黑" w:hAnsi="微软雅黑" w:cs="微软雅黑" w:hint="eastAsia"/>
                <w:bCs/>
                <w:kern w:val="0"/>
                <w:szCs w:val="21"/>
                <w:shd w:val="clear" w:color="auto" w:fill="FFFFFF"/>
              </w:rPr>
              <w:t>给药护理</w:t>
            </w:r>
          </w:p>
        </w:tc>
        <w:tc>
          <w:tcPr>
            <w:tcW w:w="6306" w:type="dxa"/>
          </w:tcPr>
          <w:p w14:paraId="31B32A92"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w:t>
            </w:r>
            <w:r>
              <w:rPr>
                <w:rFonts w:ascii="宋体" w:eastAsia="宋体" w:hAnsi="宋体" w:cs="Times New Roman" w:hint="eastAsia"/>
                <w:color w:val="000000"/>
                <w:szCs w:val="21"/>
              </w:rPr>
              <w:t>知道常用药物的种类和常用给药医嘱的外文缩写词、给药途径和给药原则。</w:t>
            </w:r>
          </w:p>
          <w:p w14:paraId="4174DED5"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lastRenderedPageBreak/>
              <w:t>2.</w:t>
            </w:r>
            <w:r>
              <w:rPr>
                <w:rFonts w:ascii="宋体" w:eastAsia="宋体" w:hAnsi="宋体" w:cs="Times New Roman" w:hint="eastAsia"/>
                <w:color w:val="000000"/>
                <w:szCs w:val="21"/>
              </w:rPr>
              <w:t>知道注射原则、各种注射方法的目的、常用部位及注意事项。</w:t>
            </w:r>
          </w:p>
          <w:p w14:paraId="3B956945"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w:t>
            </w:r>
            <w:r>
              <w:rPr>
                <w:rFonts w:ascii="宋体" w:eastAsia="宋体" w:hAnsi="宋体" w:cs="Times New Roman" w:hint="eastAsia"/>
                <w:color w:val="000000"/>
                <w:szCs w:val="21"/>
              </w:rPr>
              <w:t>知道常用过敏试验液的配制浓度、注入剂量和试验结果判断、青霉素过敏反应的原因和预防措施、破伤风抗毒素脱敏注射的原理和方法。</w:t>
            </w:r>
          </w:p>
          <w:p w14:paraId="6DF45860"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4.</w:t>
            </w:r>
            <w:r>
              <w:rPr>
                <w:rFonts w:ascii="宋体" w:eastAsia="宋体" w:hAnsi="宋体" w:cs="Times New Roman" w:hint="eastAsia"/>
                <w:color w:val="000000"/>
                <w:szCs w:val="21"/>
              </w:rPr>
              <w:t>理解口服给药法、注射法</w:t>
            </w:r>
            <w:r>
              <w:rPr>
                <w:rFonts w:ascii="宋体" w:eastAsia="宋体" w:hAnsi="宋体" w:cs="Times New Roman" w:hint="eastAsia"/>
                <w:color w:val="000000"/>
                <w:szCs w:val="21"/>
              </w:rPr>
              <w:t>、皮内注射法、皮下注射法、肌内注射法、静脉注射、雾化吸入法、超声雾化吸入法、氧气雾化吸入法、过敏反应及破伤风抗毒素脱敏注射法的概念。</w:t>
            </w:r>
          </w:p>
          <w:p w14:paraId="51EF52AF"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5.</w:t>
            </w:r>
            <w:r>
              <w:rPr>
                <w:rFonts w:ascii="宋体" w:eastAsia="宋体" w:hAnsi="宋体" w:cs="Times New Roman" w:hint="eastAsia"/>
                <w:color w:val="000000"/>
                <w:szCs w:val="21"/>
              </w:rPr>
              <w:t>理解药物保管的要求、不同性能药物口服时的注意事项、静脉注射失败的原因、青霉素过敏性休克的临床表现。</w:t>
            </w:r>
          </w:p>
          <w:p w14:paraId="6543EE7F"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6.</w:t>
            </w:r>
            <w:r>
              <w:rPr>
                <w:rFonts w:ascii="宋体" w:eastAsia="宋体" w:hAnsi="宋体" w:cs="Times New Roman" w:hint="eastAsia"/>
                <w:color w:val="000000"/>
                <w:szCs w:val="21"/>
              </w:rPr>
              <w:t>能以正确的方法完成各种注射法、超声雾化吸入法、氧气雾化吸入法的操作。</w:t>
            </w:r>
          </w:p>
        </w:tc>
      </w:tr>
      <w:tr w:rsidR="003625DD" w14:paraId="4C0380E3" w14:textId="77777777">
        <w:trPr>
          <w:trHeight w:val="545"/>
        </w:trPr>
        <w:tc>
          <w:tcPr>
            <w:tcW w:w="1242" w:type="dxa"/>
            <w:vAlign w:val="center"/>
          </w:tcPr>
          <w:p w14:paraId="6D60F62B"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lastRenderedPageBreak/>
              <w:t>13</w:t>
            </w:r>
          </w:p>
        </w:tc>
        <w:tc>
          <w:tcPr>
            <w:tcW w:w="1843" w:type="dxa"/>
            <w:vAlign w:val="center"/>
          </w:tcPr>
          <w:p w14:paraId="3BD0CCFA" w14:textId="77777777" w:rsidR="003625DD" w:rsidRDefault="002618DD">
            <w:pPr>
              <w:snapToGrid w:val="0"/>
              <w:spacing w:line="288" w:lineRule="auto"/>
              <w:jc w:val="center"/>
              <w:rPr>
                <w:rFonts w:ascii="微软雅黑" w:eastAsia="微软雅黑" w:hAnsi="微软雅黑" w:cs="微软雅黑"/>
                <w:bCs/>
                <w:kern w:val="0"/>
                <w:szCs w:val="21"/>
                <w:shd w:val="clear" w:color="auto" w:fill="FFFFFF"/>
              </w:rPr>
            </w:pPr>
            <w:r>
              <w:rPr>
                <w:rFonts w:ascii="微软雅黑" w:eastAsia="微软雅黑" w:hAnsi="微软雅黑" w:cs="微软雅黑" w:hint="eastAsia"/>
                <w:bCs/>
                <w:kern w:val="0"/>
                <w:szCs w:val="21"/>
                <w:shd w:val="clear" w:color="auto" w:fill="FFFFFF"/>
              </w:rPr>
              <w:t>输液与输血</w:t>
            </w:r>
          </w:p>
        </w:tc>
        <w:tc>
          <w:tcPr>
            <w:tcW w:w="6306" w:type="dxa"/>
          </w:tcPr>
          <w:p w14:paraId="54546850"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w:t>
            </w:r>
            <w:r>
              <w:rPr>
                <w:rFonts w:ascii="宋体" w:eastAsia="宋体" w:hAnsi="宋体" w:cs="Times New Roman" w:hint="eastAsia"/>
                <w:color w:val="000000"/>
                <w:szCs w:val="21"/>
              </w:rPr>
              <w:t>知道静脉输液的目的、静脉补液应遵循的原则</w:t>
            </w:r>
            <w:r>
              <w:rPr>
                <w:rFonts w:ascii="宋体" w:eastAsia="宋体" w:hAnsi="宋体" w:cs="Times New Roman" w:hint="eastAsia"/>
                <w:color w:val="000000"/>
                <w:szCs w:val="21"/>
              </w:rPr>
              <w:t>、</w:t>
            </w:r>
            <w:r>
              <w:rPr>
                <w:rFonts w:ascii="宋体" w:eastAsia="宋体" w:hAnsi="宋体" w:cs="Times New Roman" w:hint="eastAsia"/>
                <w:color w:val="000000"/>
                <w:szCs w:val="21"/>
              </w:rPr>
              <w:t>常见输液障碍的种类。</w:t>
            </w:r>
          </w:p>
          <w:p w14:paraId="4532A891"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w:t>
            </w:r>
            <w:r>
              <w:rPr>
                <w:rFonts w:ascii="宋体" w:eastAsia="宋体" w:hAnsi="宋体" w:cs="Times New Roman" w:hint="eastAsia"/>
                <w:color w:val="000000"/>
                <w:szCs w:val="21"/>
              </w:rPr>
              <w:t>知道静脉输血的目的和原则、自体输血的优点、成分输血的特点。</w:t>
            </w:r>
          </w:p>
          <w:p w14:paraId="4379A4E8"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w:t>
            </w:r>
            <w:r>
              <w:rPr>
                <w:rFonts w:ascii="宋体" w:eastAsia="宋体" w:hAnsi="宋体" w:cs="Times New Roman" w:hint="eastAsia"/>
                <w:color w:val="000000"/>
                <w:szCs w:val="21"/>
              </w:rPr>
              <w:t>理解静脉输液、输液微粒、输液微粒污染、密闭式输液法、开放式输液法、静脉输血、间接输血法、直接输血法、血型、</w:t>
            </w:r>
            <w:r>
              <w:rPr>
                <w:rFonts w:ascii="宋体" w:eastAsia="宋体" w:hAnsi="宋体" w:cs="Times New Roman" w:hint="eastAsia"/>
                <w:color w:val="000000"/>
                <w:szCs w:val="21"/>
              </w:rPr>
              <w:t>ABO</w:t>
            </w:r>
            <w:r>
              <w:rPr>
                <w:rFonts w:ascii="宋体" w:eastAsia="宋体" w:hAnsi="宋体" w:cs="Times New Roman" w:hint="eastAsia"/>
                <w:color w:val="000000"/>
                <w:szCs w:val="21"/>
              </w:rPr>
              <w:t>血型鉴定、直接交叉配</w:t>
            </w:r>
            <w:proofErr w:type="gramStart"/>
            <w:r>
              <w:rPr>
                <w:rFonts w:ascii="宋体" w:eastAsia="宋体" w:hAnsi="宋体" w:cs="Times New Roman" w:hint="eastAsia"/>
                <w:color w:val="000000"/>
                <w:szCs w:val="21"/>
              </w:rPr>
              <w:t>血试验</w:t>
            </w:r>
            <w:proofErr w:type="gramEnd"/>
            <w:r>
              <w:rPr>
                <w:rFonts w:ascii="宋体" w:eastAsia="宋体" w:hAnsi="宋体" w:cs="Times New Roman" w:hint="eastAsia"/>
                <w:color w:val="000000"/>
                <w:szCs w:val="21"/>
              </w:rPr>
              <w:t>及间接交叉配</w:t>
            </w:r>
            <w:proofErr w:type="gramStart"/>
            <w:r>
              <w:rPr>
                <w:rFonts w:ascii="宋体" w:eastAsia="宋体" w:hAnsi="宋体" w:cs="Times New Roman" w:hint="eastAsia"/>
                <w:color w:val="000000"/>
                <w:szCs w:val="21"/>
              </w:rPr>
              <w:t>血试验</w:t>
            </w:r>
            <w:proofErr w:type="gramEnd"/>
            <w:r>
              <w:rPr>
                <w:rFonts w:ascii="宋体" w:eastAsia="宋体" w:hAnsi="宋体" w:cs="Times New Roman" w:hint="eastAsia"/>
                <w:color w:val="000000"/>
                <w:szCs w:val="21"/>
              </w:rPr>
              <w:t>的概念。</w:t>
            </w:r>
          </w:p>
          <w:p w14:paraId="2CB83724"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4.</w:t>
            </w:r>
            <w:r>
              <w:rPr>
                <w:rFonts w:ascii="宋体" w:eastAsia="宋体" w:hAnsi="宋体" w:cs="Times New Roman" w:hint="eastAsia"/>
                <w:color w:val="000000"/>
                <w:szCs w:val="21"/>
              </w:rPr>
              <w:t>理解静脉输液的原理、常用溶液的种类及作用、周围静脉输液法、静脉输血法及成分输血的注意事项、输液过程中</w:t>
            </w:r>
            <w:proofErr w:type="gramStart"/>
            <w:r>
              <w:rPr>
                <w:rFonts w:ascii="宋体" w:eastAsia="宋体" w:hAnsi="宋体" w:cs="Times New Roman" w:hint="eastAsia"/>
                <w:color w:val="000000"/>
                <w:szCs w:val="21"/>
              </w:rPr>
              <w:t>溶液不滴的</w:t>
            </w:r>
            <w:proofErr w:type="gramEnd"/>
            <w:r>
              <w:rPr>
                <w:rFonts w:ascii="宋体" w:eastAsia="宋体" w:hAnsi="宋体" w:cs="Times New Roman" w:hint="eastAsia"/>
                <w:color w:val="000000"/>
                <w:szCs w:val="21"/>
              </w:rPr>
              <w:t>原因、常见输液反应及常见输血反应的原因、各种血液制品的种类及作用。</w:t>
            </w:r>
          </w:p>
          <w:p w14:paraId="32283845"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5.</w:t>
            </w:r>
            <w:r>
              <w:rPr>
                <w:rFonts w:ascii="宋体" w:eastAsia="宋体" w:hAnsi="宋体" w:cs="Times New Roman" w:hint="eastAsia"/>
                <w:color w:val="000000"/>
                <w:szCs w:val="21"/>
              </w:rPr>
              <w:t>能正确计算静脉输液的速度和时间；能用正确的方法排除输液过程中出现的各种障碍。</w:t>
            </w:r>
          </w:p>
        </w:tc>
      </w:tr>
      <w:tr w:rsidR="003625DD" w14:paraId="06439661" w14:textId="77777777">
        <w:trPr>
          <w:trHeight w:val="545"/>
        </w:trPr>
        <w:tc>
          <w:tcPr>
            <w:tcW w:w="1242" w:type="dxa"/>
            <w:vAlign w:val="center"/>
          </w:tcPr>
          <w:p w14:paraId="3D746BCB"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14</w:t>
            </w:r>
          </w:p>
        </w:tc>
        <w:tc>
          <w:tcPr>
            <w:tcW w:w="1843" w:type="dxa"/>
            <w:vAlign w:val="center"/>
          </w:tcPr>
          <w:p w14:paraId="365810BB" w14:textId="77777777" w:rsidR="003625DD" w:rsidRDefault="002618DD">
            <w:pPr>
              <w:snapToGrid w:val="0"/>
              <w:spacing w:line="288" w:lineRule="auto"/>
              <w:jc w:val="center"/>
              <w:rPr>
                <w:rFonts w:ascii="微软雅黑" w:eastAsia="微软雅黑" w:hAnsi="微软雅黑" w:cs="微软雅黑"/>
                <w:bCs/>
                <w:kern w:val="0"/>
                <w:szCs w:val="21"/>
                <w:shd w:val="clear" w:color="auto" w:fill="FFFFFF"/>
              </w:rPr>
            </w:pPr>
            <w:r>
              <w:rPr>
                <w:rFonts w:ascii="微软雅黑" w:eastAsia="微软雅黑" w:hAnsi="微软雅黑" w:cs="微软雅黑" w:hint="eastAsia"/>
                <w:bCs/>
                <w:kern w:val="0"/>
                <w:szCs w:val="21"/>
                <w:shd w:val="clear" w:color="auto" w:fill="FFFFFF"/>
              </w:rPr>
              <w:t>标本采</w:t>
            </w:r>
            <w:r>
              <w:rPr>
                <w:rFonts w:ascii="微软雅黑" w:eastAsia="微软雅黑" w:hAnsi="微软雅黑" w:cs="微软雅黑" w:hint="eastAsia"/>
                <w:bCs/>
                <w:kern w:val="0"/>
                <w:szCs w:val="21"/>
                <w:shd w:val="clear" w:color="auto" w:fill="FFFFFF"/>
              </w:rPr>
              <w:t>集</w:t>
            </w:r>
          </w:p>
        </w:tc>
        <w:tc>
          <w:tcPr>
            <w:tcW w:w="6306" w:type="dxa"/>
          </w:tcPr>
          <w:p w14:paraId="6B86A26F"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w:t>
            </w:r>
            <w:r>
              <w:rPr>
                <w:rFonts w:ascii="宋体" w:eastAsia="宋体" w:hAnsi="宋体" w:cs="Times New Roman" w:hint="eastAsia"/>
                <w:color w:val="000000"/>
                <w:szCs w:val="21"/>
              </w:rPr>
              <w:t>知道标本采集的基本原则、血液标本、尿液标本、粪便标本、痰液标本及咽拭子标本采集的目的及注意事项。</w:t>
            </w:r>
          </w:p>
          <w:p w14:paraId="271267A0"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w:t>
            </w:r>
            <w:r>
              <w:rPr>
                <w:rFonts w:ascii="宋体" w:eastAsia="宋体" w:hAnsi="宋体" w:cs="Times New Roman" w:hint="eastAsia"/>
                <w:color w:val="000000"/>
                <w:szCs w:val="21"/>
              </w:rPr>
              <w:t>知道留取</w:t>
            </w:r>
            <w:r>
              <w:rPr>
                <w:rFonts w:ascii="宋体" w:eastAsia="宋体" w:hAnsi="宋体" w:cs="Times New Roman" w:hint="eastAsia"/>
                <w:color w:val="000000"/>
                <w:szCs w:val="21"/>
              </w:rPr>
              <w:t>12</w:t>
            </w:r>
            <w:r>
              <w:rPr>
                <w:rFonts w:ascii="宋体" w:eastAsia="宋体" w:hAnsi="宋体" w:cs="Times New Roman" w:hint="eastAsia"/>
                <w:color w:val="000000"/>
                <w:szCs w:val="21"/>
              </w:rPr>
              <w:t>小时或</w:t>
            </w:r>
            <w:r>
              <w:rPr>
                <w:rFonts w:ascii="宋体" w:eastAsia="宋体" w:hAnsi="宋体" w:cs="Times New Roman" w:hint="eastAsia"/>
                <w:color w:val="000000"/>
                <w:szCs w:val="21"/>
              </w:rPr>
              <w:t>24</w:t>
            </w:r>
            <w:r>
              <w:rPr>
                <w:rFonts w:ascii="宋体" w:eastAsia="宋体" w:hAnsi="宋体" w:cs="Times New Roman" w:hint="eastAsia"/>
                <w:color w:val="000000"/>
                <w:szCs w:val="21"/>
              </w:rPr>
              <w:t>小时尿标本常用防腐剂的种类、作用与用法。</w:t>
            </w:r>
          </w:p>
          <w:p w14:paraId="081E1CCD"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w:t>
            </w:r>
            <w:r>
              <w:rPr>
                <w:rFonts w:ascii="宋体" w:eastAsia="宋体" w:hAnsi="宋体" w:cs="Times New Roman" w:hint="eastAsia"/>
                <w:color w:val="000000"/>
                <w:szCs w:val="21"/>
              </w:rPr>
              <w:t>理解不同类型的静脉血标本采集的目的、采血量、方法及标本容器选择的不同点。</w:t>
            </w:r>
          </w:p>
        </w:tc>
      </w:tr>
      <w:tr w:rsidR="003625DD" w14:paraId="306D8BBC" w14:textId="77777777">
        <w:trPr>
          <w:trHeight w:val="545"/>
        </w:trPr>
        <w:tc>
          <w:tcPr>
            <w:tcW w:w="1242" w:type="dxa"/>
            <w:vAlign w:val="center"/>
          </w:tcPr>
          <w:p w14:paraId="69ECB9AA"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15</w:t>
            </w:r>
          </w:p>
        </w:tc>
        <w:tc>
          <w:tcPr>
            <w:tcW w:w="1843" w:type="dxa"/>
            <w:vAlign w:val="center"/>
          </w:tcPr>
          <w:p w14:paraId="399B91F7" w14:textId="77777777" w:rsidR="003625DD" w:rsidRDefault="002618DD">
            <w:pPr>
              <w:snapToGrid w:val="0"/>
              <w:spacing w:line="288" w:lineRule="auto"/>
              <w:jc w:val="center"/>
              <w:rPr>
                <w:rFonts w:ascii="微软雅黑" w:eastAsia="微软雅黑" w:hAnsi="微软雅黑" w:cs="微软雅黑"/>
                <w:bCs/>
                <w:kern w:val="0"/>
                <w:szCs w:val="21"/>
                <w:shd w:val="clear" w:color="auto" w:fill="FFFFFF"/>
              </w:rPr>
            </w:pPr>
            <w:r>
              <w:rPr>
                <w:rFonts w:ascii="微软雅黑" w:eastAsia="微软雅黑" w:hAnsi="微软雅黑" w:cs="微软雅黑" w:hint="eastAsia"/>
                <w:bCs/>
                <w:kern w:val="0"/>
                <w:szCs w:val="21"/>
                <w:shd w:val="clear" w:color="auto" w:fill="FFFFFF"/>
              </w:rPr>
              <w:t>病情观察及危重病人管理</w:t>
            </w:r>
          </w:p>
        </w:tc>
        <w:tc>
          <w:tcPr>
            <w:tcW w:w="6306" w:type="dxa"/>
          </w:tcPr>
          <w:p w14:paraId="203B7717"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w:t>
            </w:r>
            <w:r>
              <w:rPr>
                <w:rFonts w:ascii="宋体" w:eastAsia="宋体" w:hAnsi="宋体" w:cs="Times New Roman" w:hint="eastAsia"/>
                <w:color w:val="000000"/>
                <w:szCs w:val="21"/>
              </w:rPr>
              <w:t>知道病情观察的内容及方法、洗胃的目的、常用洗胃溶液、简易呼吸器的操作要点。</w:t>
            </w:r>
          </w:p>
          <w:p w14:paraId="24547656"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w:t>
            </w:r>
            <w:r>
              <w:rPr>
                <w:rFonts w:ascii="宋体" w:eastAsia="宋体" w:hAnsi="宋体" w:cs="Times New Roman" w:hint="eastAsia"/>
                <w:color w:val="000000"/>
                <w:szCs w:val="21"/>
              </w:rPr>
              <w:t>理解意识状态、意识障碍、轻度昏迷、深度昏迷、洗胃的概念、意识障碍的种类、洗胃的注意事项。</w:t>
            </w:r>
          </w:p>
          <w:p w14:paraId="574C97EF"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w:t>
            </w:r>
            <w:r>
              <w:rPr>
                <w:rFonts w:ascii="宋体" w:eastAsia="宋体" w:hAnsi="宋体" w:cs="Times New Roman" w:hint="eastAsia"/>
                <w:color w:val="000000"/>
                <w:szCs w:val="21"/>
              </w:rPr>
              <w:t>能按照正确的原则和方法完成洗胃法、简易人工呼吸器的操作。</w:t>
            </w:r>
          </w:p>
        </w:tc>
      </w:tr>
      <w:tr w:rsidR="003625DD" w14:paraId="449AA2C4" w14:textId="77777777">
        <w:trPr>
          <w:trHeight w:val="545"/>
        </w:trPr>
        <w:tc>
          <w:tcPr>
            <w:tcW w:w="1242" w:type="dxa"/>
            <w:vAlign w:val="center"/>
          </w:tcPr>
          <w:p w14:paraId="759671F4"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16</w:t>
            </w:r>
          </w:p>
        </w:tc>
        <w:tc>
          <w:tcPr>
            <w:tcW w:w="1843" w:type="dxa"/>
            <w:vAlign w:val="center"/>
          </w:tcPr>
          <w:p w14:paraId="279E827F" w14:textId="77777777" w:rsidR="003625DD" w:rsidRDefault="002618DD">
            <w:pPr>
              <w:snapToGrid w:val="0"/>
              <w:spacing w:line="288" w:lineRule="auto"/>
              <w:jc w:val="center"/>
              <w:rPr>
                <w:rFonts w:ascii="微软雅黑" w:eastAsia="微软雅黑" w:hAnsi="微软雅黑" w:cs="微软雅黑"/>
                <w:bCs/>
                <w:kern w:val="0"/>
                <w:szCs w:val="21"/>
                <w:shd w:val="clear" w:color="auto" w:fill="FFFFFF"/>
              </w:rPr>
            </w:pPr>
            <w:r>
              <w:rPr>
                <w:rFonts w:ascii="微软雅黑" w:eastAsia="微软雅黑" w:hAnsi="微软雅黑" w:cs="微软雅黑" w:hint="eastAsia"/>
                <w:bCs/>
                <w:kern w:val="0"/>
                <w:szCs w:val="21"/>
                <w:shd w:val="clear" w:color="auto" w:fill="FFFFFF"/>
              </w:rPr>
              <w:t>临终护理</w:t>
            </w:r>
          </w:p>
        </w:tc>
        <w:tc>
          <w:tcPr>
            <w:tcW w:w="6306" w:type="dxa"/>
          </w:tcPr>
          <w:p w14:paraId="07010880"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w:t>
            </w:r>
            <w:r>
              <w:rPr>
                <w:rFonts w:ascii="宋体" w:eastAsia="宋体" w:hAnsi="宋体" w:cs="Times New Roman" w:hint="eastAsia"/>
                <w:color w:val="000000"/>
                <w:szCs w:val="21"/>
              </w:rPr>
              <w:t>知道脑死亡的诊断标准、临终病人各阶段的生理评估</w:t>
            </w:r>
            <w:proofErr w:type="gramStart"/>
            <w:r>
              <w:rPr>
                <w:rFonts w:ascii="宋体" w:eastAsia="宋体" w:hAnsi="宋体" w:cs="Times New Roman" w:hint="eastAsia"/>
                <w:color w:val="000000"/>
                <w:szCs w:val="21"/>
              </w:rPr>
              <w:t>內</w:t>
            </w:r>
            <w:proofErr w:type="gramEnd"/>
            <w:r>
              <w:rPr>
                <w:rFonts w:ascii="宋体" w:eastAsia="宋体" w:hAnsi="宋体" w:cs="Times New Roman" w:hint="eastAsia"/>
                <w:color w:val="000000"/>
                <w:szCs w:val="21"/>
              </w:rPr>
              <w:t>容、濒死病人的临床表现及死亡诊断依据。</w:t>
            </w:r>
          </w:p>
          <w:p w14:paraId="4DAFB91E"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w:t>
            </w:r>
            <w:r>
              <w:rPr>
                <w:rFonts w:ascii="宋体" w:eastAsia="宋体" w:hAnsi="宋体" w:cs="Times New Roman" w:hint="eastAsia"/>
                <w:color w:val="000000"/>
                <w:szCs w:val="21"/>
              </w:rPr>
              <w:t>理解临终关怀、死亡教育、濒死、脑死亡的概念、临终关怀的理念、死亡过程各期的表现和特点、临终病人的护理原则、临终病人的各个心理反应期。</w:t>
            </w:r>
          </w:p>
          <w:p w14:paraId="695D8A97"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w:t>
            </w:r>
            <w:r>
              <w:rPr>
                <w:rFonts w:ascii="宋体" w:eastAsia="宋体" w:hAnsi="宋体" w:cs="Times New Roman" w:hint="eastAsia"/>
                <w:color w:val="000000"/>
                <w:szCs w:val="21"/>
              </w:rPr>
              <w:t>能为临终病人及家属提供身心支持；能按正确的操作规程对逝者进行尸体料理。</w:t>
            </w:r>
          </w:p>
        </w:tc>
      </w:tr>
    </w:tbl>
    <w:p w14:paraId="7B62FFDB" w14:textId="77777777" w:rsidR="003625DD" w:rsidRDefault="003625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1FFE7FC7" w14:textId="77777777" w:rsidR="003625DD" w:rsidRDefault="003625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0178BBA8" w14:textId="77777777" w:rsidR="003625DD" w:rsidRDefault="002618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五、参考教材</w:t>
      </w:r>
    </w:p>
    <w:p w14:paraId="0FC3BEA7" w14:textId="77777777" w:rsidR="003625DD" w:rsidRDefault="003625DD">
      <w:pPr>
        <w:pStyle w:val="a7"/>
        <w:widowControl/>
        <w:shd w:val="clear" w:color="auto" w:fill="FFFFFF"/>
        <w:adjustRightInd w:val="0"/>
        <w:snapToGrid w:val="0"/>
        <w:spacing w:beforeAutospacing="0" w:afterAutospacing="0" w:line="360" w:lineRule="auto"/>
        <w:rPr>
          <w:rFonts w:cstheme="minorBidi"/>
          <w:kern w:val="2"/>
          <w:sz w:val="21"/>
          <w:szCs w:val="22"/>
        </w:rPr>
      </w:pPr>
    </w:p>
    <w:p w14:paraId="6375BCFF" w14:textId="77777777" w:rsidR="003625DD" w:rsidRDefault="002618DD">
      <w:pPr>
        <w:pStyle w:val="a7"/>
        <w:widowControl/>
        <w:shd w:val="clear" w:color="auto" w:fill="FFFFFF"/>
        <w:adjustRightInd w:val="0"/>
        <w:snapToGrid w:val="0"/>
        <w:spacing w:beforeAutospacing="0" w:afterAutospacing="0" w:line="360" w:lineRule="auto"/>
        <w:rPr>
          <w:rFonts w:cstheme="minorBidi"/>
          <w:kern w:val="2"/>
          <w:sz w:val="21"/>
          <w:szCs w:val="22"/>
        </w:rPr>
      </w:pPr>
      <w:r>
        <w:rPr>
          <w:rFonts w:cstheme="minorBidi" w:hint="eastAsia"/>
          <w:kern w:val="2"/>
          <w:sz w:val="21"/>
          <w:szCs w:val="22"/>
        </w:rPr>
        <w:t>1.</w:t>
      </w:r>
      <w:r>
        <w:rPr>
          <w:rFonts w:cstheme="minorBidi" w:hint="eastAsia"/>
          <w:kern w:val="2"/>
          <w:sz w:val="21"/>
          <w:szCs w:val="22"/>
        </w:rPr>
        <w:t>护理学导论（第</w:t>
      </w:r>
      <w:r>
        <w:rPr>
          <w:rFonts w:cstheme="minorBidi" w:hint="eastAsia"/>
          <w:kern w:val="2"/>
          <w:sz w:val="21"/>
          <w:szCs w:val="22"/>
        </w:rPr>
        <w:t>4</w:t>
      </w:r>
      <w:r>
        <w:rPr>
          <w:rFonts w:cstheme="minorBidi" w:hint="eastAsia"/>
          <w:kern w:val="2"/>
          <w:sz w:val="21"/>
          <w:szCs w:val="22"/>
        </w:rPr>
        <w:t>版），李小妹、冯先琼主编，人民卫生出版社，</w:t>
      </w:r>
      <w:r>
        <w:rPr>
          <w:rFonts w:cstheme="minorBidi" w:hint="eastAsia"/>
          <w:kern w:val="2"/>
          <w:sz w:val="21"/>
          <w:szCs w:val="22"/>
        </w:rPr>
        <w:t>2017</w:t>
      </w:r>
      <w:r>
        <w:rPr>
          <w:rFonts w:cstheme="minorBidi" w:hint="eastAsia"/>
          <w:kern w:val="2"/>
          <w:sz w:val="21"/>
          <w:szCs w:val="22"/>
        </w:rPr>
        <w:t>年</w:t>
      </w:r>
      <w:r>
        <w:rPr>
          <w:rFonts w:cstheme="minorBidi" w:hint="eastAsia"/>
          <w:kern w:val="2"/>
          <w:sz w:val="21"/>
          <w:szCs w:val="22"/>
        </w:rPr>
        <w:t>6</w:t>
      </w:r>
      <w:r>
        <w:rPr>
          <w:rFonts w:cstheme="minorBidi" w:hint="eastAsia"/>
          <w:kern w:val="2"/>
          <w:sz w:val="21"/>
          <w:szCs w:val="22"/>
        </w:rPr>
        <w:t>月</w:t>
      </w:r>
    </w:p>
    <w:p w14:paraId="36E06E0C" w14:textId="77777777" w:rsidR="003625DD" w:rsidRDefault="002618DD">
      <w:pPr>
        <w:pStyle w:val="a7"/>
        <w:widowControl/>
        <w:shd w:val="clear" w:color="auto" w:fill="FFFFFF"/>
        <w:adjustRightInd w:val="0"/>
        <w:snapToGrid w:val="0"/>
        <w:spacing w:beforeAutospacing="0" w:afterAutospacing="0" w:line="360" w:lineRule="auto"/>
        <w:rPr>
          <w:rFonts w:cstheme="minorBidi"/>
          <w:kern w:val="2"/>
          <w:sz w:val="21"/>
          <w:szCs w:val="22"/>
        </w:rPr>
      </w:pPr>
      <w:r>
        <w:rPr>
          <w:rFonts w:cstheme="minorBidi" w:hint="eastAsia"/>
          <w:kern w:val="2"/>
          <w:sz w:val="21"/>
          <w:szCs w:val="22"/>
        </w:rPr>
        <w:t>2.</w:t>
      </w:r>
      <w:r>
        <w:rPr>
          <w:rFonts w:cstheme="minorBidi" w:hint="eastAsia"/>
          <w:kern w:val="2"/>
          <w:sz w:val="21"/>
          <w:szCs w:val="22"/>
        </w:rPr>
        <w:t>基础护理学（第</w:t>
      </w:r>
      <w:r>
        <w:rPr>
          <w:rFonts w:cstheme="minorBidi" w:hint="eastAsia"/>
          <w:kern w:val="2"/>
          <w:sz w:val="21"/>
          <w:szCs w:val="22"/>
        </w:rPr>
        <w:t>6</w:t>
      </w:r>
      <w:r>
        <w:rPr>
          <w:rFonts w:cstheme="minorBidi" w:hint="eastAsia"/>
          <w:kern w:val="2"/>
          <w:sz w:val="21"/>
          <w:szCs w:val="22"/>
        </w:rPr>
        <w:t>版），李小寒、尚少梅主编，人民卫生出版社，</w:t>
      </w:r>
      <w:r>
        <w:rPr>
          <w:rFonts w:cstheme="minorBidi" w:hint="eastAsia"/>
          <w:kern w:val="2"/>
          <w:sz w:val="21"/>
          <w:szCs w:val="22"/>
        </w:rPr>
        <w:t>2017</w:t>
      </w:r>
      <w:r>
        <w:rPr>
          <w:rFonts w:cstheme="minorBidi" w:hint="eastAsia"/>
          <w:kern w:val="2"/>
          <w:sz w:val="21"/>
          <w:szCs w:val="22"/>
        </w:rPr>
        <w:t>年</w:t>
      </w:r>
      <w:r>
        <w:rPr>
          <w:rFonts w:cstheme="minorBidi" w:hint="eastAsia"/>
          <w:kern w:val="2"/>
          <w:sz w:val="21"/>
          <w:szCs w:val="22"/>
        </w:rPr>
        <w:t>6</w:t>
      </w:r>
      <w:r>
        <w:rPr>
          <w:rFonts w:cstheme="minorBidi" w:hint="eastAsia"/>
          <w:kern w:val="2"/>
          <w:sz w:val="21"/>
          <w:szCs w:val="22"/>
        </w:rPr>
        <w:t>月</w:t>
      </w:r>
    </w:p>
    <w:sectPr w:rsidR="003625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5878"/>
    <w:rsid w:val="0001307E"/>
    <w:rsid w:val="0001308C"/>
    <w:rsid w:val="000143FF"/>
    <w:rsid w:val="0001733B"/>
    <w:rsid w:val="00022C76"/>
    <w:rsid w:val="0002726F"/>
    <w:rsid w:val="00042C7C"/>
    <w:rsid w:val="000440EE"/>
    <w:rsid w:val="0005073A"/>
    <w:rsid w:val="00063484"/>
    <w:rsid w:val="00073A26"/>
    <w:rsid w:val="000D1335"/>
    <w:rsid w:val="000D6349"/>
    <w:rsid w:val="000F5DEC"/>
    <w:rsid w:val="00110D5B"/>
    <w:rsid w:val="00121134"/>
    <w:rsid w:val="0012411D"/>
    <w:rsid w:val="001507C0"/>
    <w:rsid w:val="00150BC8"/>
    <w:rsid w:val="00166F0B"/>
    <w:rsid w:val="00167B59"/>
    <w:rsid w:val="00167EE5"/>
    <w:rsid w:val="001723F7"/>
    <w:rsid w:val="00173F30"/>
    <w:rsid w:val="0019765F"/>
    <w:rsid w:val="001C5274"/>
    <w:rsid w:val="001E281B"/>
    <w:rsid w:val="001F2DA8"/>
    <w:rsid w:val="002121DD"/>
    <w:rsid w:val="002163F6"/>
    <w:rsid w:val="0022721C"/>
    <w:rsid w:val="002334CF"/>
    <w:rsid w:val="0025351A"/>
    <w:rsid w:val="002618DD"/>
    <w:rsid w:val="00261DF7"/>
    <w:rsid w:val="00264507"/>
    <w:rsid w:val="002719D4"/>
    <w:rsid w:val="002900BD"/>
    <w:rsid w:val="002C0849"/>
    <w:rsid w:val="002C5D04"/>
    <w:rsid w:val="002D2699"/>
    <w:rsid w:val="00313E63"/>
    <w:rsid w:val="003254B9"/>
    <w:rsid w:val="003276F7"/>
    <w:rsid w:val="00332FA6"/>
    <w:rsid w:val="00337751"/>
    <w:rsid w:val="003625DD"/>
    <w:rsid w:val="003752F7"/>
    <w:rsid w:val="0039241C"/>
    <w:rsid w:val="00393DC7"/>
    <w:rsid w:val="003C1D78"/>
    <w:rsid w:val="003D74A2"/>
    <w:rsid w:val="003E2C15"/>
    <w:rsid w:val="00410D19"/>
    <w:rsid w:val="00434FE2"/>
    <w:rsid w:val="00444B86"/>
    <w:rsid w:val="00451F73"/>
    <w:rsid w:val="00452A2D"/>
    <w:rsid w:val="004717C9"/>
    <w:rsid w:val="004970CA"/>
    <w:rsid w:val="004D2294"/>
    <w:rsid w:val="004D28F5"/>
    <w:rsid w:val="004F2835"/>
    <w:rsid w:val="005006F3"/>
    <w:rsid w:val="00502C39"/>
    <w:rsid w:val="00547139"/>
    <w:rsid w:val="005477E4"/>
    <w:rsid w:val="00564B16"/>
    <w:rsid w:val="00566C3C"/>
    <w:rsid w:val="00570A26"/>
    <w:rsid w:val="00581E7E"/>
    <w:rsid w:val="0059385C"/>
    <w:rsid w:val="005C23C6"/>
    <w:rsid w:val="005E0278"/>
    <w:rsid w:val="005E5878"/>
    <w:rsid w:val="00623F5C"/>
    <w:rsid w:val="00624D59"/>
    <w:rsid w:val="00625421"/>
    <w:rsid w:val="006267E3"/>
    <w:rsid w:val="006415FD"/>
    <w:rsid w:val="0066361E"/>
    <w:rsid w:val="00671DAE"/>
    <w:rsid w:val="00672B59"/>
    <w:rsid w:val="00677BE5"/>
    <w:rsid w:val="00687002"/>
    <w:rsid w:val="006A5ED5"/>
    <w:rsid w:val="006B66C3"/>
    <w:rsid w:val="006B7ADD"/>
    <w:rsid w:val="006D7849"/>
    <w:rsid w:val="00701045"/>
    <w:rsid w:val="00723A17"/>
    <w:rsid w:val="00745E95"/>
    <w:rsid w:val="0077654F"/>
    <w:rsid w:val="00776F25"/>
    <w:rsid w:val="00795899"/>
    <w:rsid w:val="007B64BE"/>
    <w:rsid w:val="007D4516"/>
    <w:rsid w:val="00807C25"/>
    <w:rsid w:val="00814EDD"/>
    <w:rsid w:val="00862F80"/>
    <w:rsid w:val="00864B72"/>
    <w:rsid w:val="00873CEF"/>
    <w:rsid w:val="00874FE8"/>
    <w:rsid w:val="008832A7"/>
    <w:rsid w:val="008846BF"/>
    <w:rsid w:val="008E4B3B"/>
    <w:rsid w:val="008F5485"/>
    <w:rsid w:val="009158FD"/>
    <w:rsid w:val="00941903"/>
    <w:rsid w:val="0094432A"/>
    <w:rsid w:val="009449C2"/>
    <w:rsid w:val="009479A4"/>
    <w:rsid w:val="00961A56"/>
    <w:rsid w:val="0096249E"/>
    <w:rsid w:val="00964C60"/>
    <w:rsid w:val="00967B52"/>
    <w:rsid w:val="009C7624"/>
    <w:rsid w:val="009E3038"/>
    <w:rsid w:val="00A04D72"/>
    <w:rsid w:val="00A04F45"/>
    <w:rsid w:val="00A319E6"/>
    <w:rsid w:val="00A3469A"/>
    <w:rsid w:val="00A45ED6"/>
    <w:rsid w:val="00A466C8"/>
    <w:rsid w:val="00A6027C"/>
    <w:rsid w:val="00A87AC9"/>
    <w:rsid w:val="00A90E55"/>
    <w:rsid w:val="00A91F9C"/>
    <w:rsid w:val="00AB6A4B"/>
    <w:rsid w:val="00B27BD3"/>
    <w:rsid w:val="00B5370E"/>
    <w:rsid w:val="00B71A55"/>
    <w:rsid w:val="00B82AF1"/>
    <w:rsid w:val="00B94822"/>
    <w:rsid w:val="00BB6549"/>
    <w:rsid w:val="00BB7088"/>
    <w:rsid w:val="00BC1BDD"/>
    <w:rsid w:val="00BC4A81"/>
    <w:rsid w:val="00BC55D5"/>
    <w:rsid w:val="00BC6433"/>
    <w:rsid w:val="00BE1719"/>
    <w:rsid w:val="00BE237E"/>
    <w:rsid w:val="00BF5716"/>
    <w:rsid w:val="00C06A50"/>
    <w:rsid w:val="00C16247"/>
    <w:rsid w:val="00C24B25"/>
    <w:rsid w:val="00C345D2"/>
    <w:rsid w:val="00C4527F"/>
    <w:rsid w:val="00C554F3"/>
    <w:rsid w:val="00C571CD"/>
    <w:rsid w:val="00C72DCF"/>
    <w:rsid w:val="00CD03F0"/>
    <w:rsid w:val="00CD0462"/>
    <w:rsid w:val="00CD4AB2"/>
    <w:rsid w:val="00D05DBE"/>
    <w:rsid w:val="00D2092B"/>
    <w:rsid w:val="00D224A8"/>
    <w:rsid w:val="00D225F2"/>
    <w:rsid w:val="00D944BF"/>
    <w:rsid w:val="00DA2FA3"/>
    <w:rsid w:val="00DB344C"/>
    <w:rsid w:val="00DC2850"/>
    <w:rsid w:val="00DC51BA"/>
    <w:rsid w:val="00DE05DB"/>
    <w:rsid w:val="00DE6503"/>
    <w:rsid w:val="00DF74AE"/>
    <w:rsid w:val="00E02DFD"/>
    <w:rsid w:val="00E05884"/>
    <w:rsid w:val="00E35E3D"/>
    <w:rsid w:val="00E45529"/>
    <w:rsid w:val="00E62C57"/>
    <w:rsid w:val="00E63BAE"/>
    <w:rsid w:val="00E65499"/>
    <w:rsid w:val="00E73B6C"/>
    <w:rsid w:val="00E935BF"/>
    <w:rsid w:val="00EC45AB"/>
    <w:rsid w:val="00ED297D"/>
    <w:rsid w:val="00ED3855"/>
    <w:rsid w:val="00EE7EA2"/>
    <w:rsid w:val="00F10A5E"/>
    <w:rsid w:val="00F40D62"/>
    <w:rsid w:val="00F441B9"/>
    <w:rsid w:val="00F56B8C"/>
    <w:rsid w:val="00F7770D"/>
    <w:rsid w:val="00F86400"/>
    <w:rsid w:val="00F90E43"/>
    <w:rsid w:val="00F97763"/>
    <w:rsid w:val="00FC1EED"/>
    <w:rsid w:val="00FF2DE9"/>
    <w:rsid w:val="0673165A"/>
    <w:rsid w:val="081E6AF7"/>
    <w:rsid w:val="0AC53E4B"/>
    <w:rsid w:val="0ADE3811"/>
    <w:rsid w:val="0C8046FD"/>
    <w:rsid w:val="0D2D35F4"/>
    <w:rsid w:val="0EBD1AFA"/>
    <w:rsid w:val="0F1D274F"/>
    <w:rsid w:val="0F396F9C"/>
    <w:rsid w:val="0F8B530D"/>
    <w:rsid w:val="0FF84C8B"/>
    <w:rsid w:val="10EE6245"/>
    <w:rsid w:val="150B6938"/>
    <w:rsid w:val="152F3B71"/>
    <w:rsid w:val="16930C31"/>
    <w:rsid w:val="1704552D"/>
    <w:rsid w:val="17FF3092"/>
    <w:rsid w:val="1812668F"/>
    <w:rsid w:val="19C53DFD"/>
    <w:rsid w:val="1A854546"/>
    <w:rsid w:val="1B0937A6"/>
    <w:rsid w:val="1B91519E"/>
    <w:rsid w:val="1CFC1ED6"/>
    <w:rsid w:val="1DB454BE"/>
    <w:rsid w:val="27D554EB"/>
    <w:rsid w:val="28D67436"/>
    <w:rsid w:val="28EB3986"/>
    <w:rsid w:val="2ACE691D"/>
    <w:rsid w:val="2CA42059"/>
    <w:rsid w:val="2E3B15FD"/>
    <w:rsid w:val="2E442531"/>
    <w:rsid w:val="2E653189"/>
    <w:rsid w:val="2EAF4402"/>
    <w:rsid w:val="2F4F613C"/>
    <w:rsid w:val="32570C33"/>
    <w:rsid w:val="32EA55DC"/>
    <w:rsid w:val="34E951E4"/>
    <w:rsid w:val="35BD6AB8"/>
    <w:rsid w:val="38090E2E"/>
    <w:rsid w:val="393D1E1C"/>
    <w:rsid w:val="3C385645"/>
    <w:rsid w:val="3C7655BB"/>
    <w:rsid w:val="3E356E61"/>
    <w:rsid w:val="3FED0F9C"/>
    <w:rsid w:val="406E6BFE"/>
    <w:rsid w:val="423D3AFC"/>
    <w:rsid w:val="45EE7846"/>
    <w:rsid w:val="467B7F86"/>
    <w:rsid w:val="47D71308"/>
    <w:rsid w:val="4A815C72"/>
    <w:rsid w:val="4B032EF5"/>
    <w:rsid w:val="501D5F2B"/>
    <w:rsid w:val="515130D3"/>
    <w:rsid w:val="52F83502"/>
    <w:rsid w:val="54832CD1"/>
    <w:rsid w:val="54935E30"/>
    <w:rsid w:val="54B126B9"/>
    <w:rsid w:val="584009E3"/>
    <w:rsid w:val="59163AED"/>
    <w:rsid w:val="596F5BCA"/>
    <w:rsid w:val="5B4B594E"/>
    <w:rsid w:val="5D4E3166"/>
    <w:rsid w:val="5D743741"/>
    <w:rsid w:val="5F1F022E"/>
    <w:rsid w:val="61987926"/>
    <w:rsid w:val="61AD4BCD"/>
    <w:rsid w:val="63C32509"/>
    <w:rsid w:val="64627D8F"/>
    <w:rsid w:val="65667E1F"/>
    <w:rsid w:val="6DC07669"/>
    <w:rsid w:val="70160A69"/>
    <w:rsid w:val="731D6043"/>
    <w:rsid w:val="7919236E"/>
    <w:rsid w:val="7B4F1014"/>
    <w:rsid w:val="7B547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7CA16"/>
  <w15:docId w15:val="{4A68C541-26AC-4C96-BABA-E1829F88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pPr>
      <w:spacing w:beforeAutospacing="1" w:afterAutospacing="1"/>
      <w:jc w:val="left"/>
    </w:pPr>
    <w:rPr>
      <w:rFonts w:cs="Times New Roman"/>
      <w:kern w:val="0"/>
      <w:sz w:val="24"/>
      <w:szCs w:val="24"/>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10">
    <w:name w:val="标题 1 字符"/>
    <w:basedOn w:val="a0"/>
    <w:link w:val="1"/>
    <w:rPr>
      <w:rFonts w:ascii="宋体" w:eastAsia="宋体" w:hAnsi="宋体" w:cs="Times New Roman"/>
      <w:b/>
      <w:kern w:val="44"/>
      <w:sz w:val="48"/>
      <w:szCs w:val="4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Pages>
  <Words>664</Words>
  <Characters>3788</Characters>
  <Application>Microsoft Office Word</Application>
  <DocSecurity>0</DocSecurity>
  <Lines>31</Lines>
  <Paragraphs>8</Paragraphs>
  <ScaleCrop>false</ScaleCrop>
  <Company>Microsoft</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572</cp:revision>
  <dcterms:created xsi:type="dcterms:W3CDTF">2021-03-22T01:42:00Z</dcterms:created>
  <dcterms:modified xsi:type="dcterms:W3CDTF">2021-03-30T05:55:00Z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